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680"/>
        <w:spacing w:after="0"/>
        <w:rPr>
          <w:sz w:val="20"/>
          <w:szCs w:val="20"/>
          <w:color w:val="auto"/>
        </w:rPr>
      </w:pPr>
      <w:r>
        <w:rPr>
          <w:rFonts w:ascii="Arial" w:cs="Arial" w:eastAsia="Arial" w:hAnsi="Arial"/>
          <w:sz w:val="10"/>
          <w:szCs w:val="10"/>
          <w:b w:val="1"/>
          <w:bCs w:val="1"/>
          <w:color w:val="auto"/>
        </w:rPr>
        <w:t>As confidentially submitted to the Securities and Exchange Commission on April 3, 2026. This Amendment No. 2 to the draft registration statement has not been</w:t>
      </w:r>
    </w:p>
    <w:p>
      <w:pPr>
        <w:ind w:left="1740"/>
        <w:spacing w:after="0" w:line="229" w:lineRule="auto"/>
        <w:rPr>
          <w:sz w:val="20"/>
          <w:szCs w:val="20"/>
          <w:color w:val="auto"/>
        </w:rPr>
      </w:pPr>
      <w:r>
        <w:rPr>
          <w:rFonts w:ascii="Arial" w:cs="Arial" w:eastAsia="Arial" w:hAnsi="Arial"/>
          <w:sz w:val="10"/>
          <w:szCs w:val="10"/>
          <w:b w:val="1"/>
          <w:bCs w:val="1"/>
          <w:color w:val="auto"/>
        </w:rPr>
        <w:t>publicly filed with the Securities and Exchange Commission and all information herein remains strictly confidential.</w:t>
      </w:r>
    </w:p>
    <w:p>
      <w:pPr>
        <w:ind w:left="6940"/>
        <w:spacing w:after="0"/>
        <w:rPr>
          <w:sz w:val="20"/>
          <w:szCs w:val="20"/>
          <w:color w:val="auto"/>
        </w:rPr>
      </w:pPr>
      <w:r>
        <w:rPr>
          <w:rFonts w:ascii="Arial" w:cs="Arial" w:eastAsia="Arial" w:hAnsi="Arial"/>
          <w:sz w:val="10"/>
          <w:szCs w:val="10"/>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405130</wp:posOffset>
            </wp:positionH>
            <wp:positionV relativeFrom="paragraph">
              <wp:posOffset>25400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39370</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95250</wp:posOffset>
            </wp:positionV>
            <wp:extent cx="8731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FORM S-1</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REGISTRATION STATEMENT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88265</wp:posOffset>
            </wp:positionV>
            <wp:extent cx="8731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167"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ODYSSEY THERAPEUTICS, INC.</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86995</wp:posOffset>
            </wp:positionV>
            <wp:extent cx="8731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180" w:lineRule="exact"/>
        <w:rPr>
          <w:sz w:val="24"/>
          <w:szCs w:val="24"/>
          <w:color w:val="auto"/>
        </w:rPr>
      </w:pPr>
    </w:p>
    <w:tbl>
      <w:tblPr>
        <w:tblLayout w:type="fixed"/>
        <w:tblInd w:w="1220" w:type="dxa"/>
        <w:tblCellMar>
          <w:top w:w="0" w:type="dxa"/>
          <w:left w:w="0" w:type="dxa"/>
          <w:bottom w:w="0" w:type="dxa"/>
          <w:right w:w="0" w:type="dxa"/>
        </w:tblCellMar>
      </w:tblPr>
      <w:tr>
        <w:trPr>
          <w:trHeight w:val="126"/>
        </w:trPr>
        <w:tc>
          <w:tcPr>
            <w:tcW w:w="2020" w:type="dxa"/>
            <w:vAlign w:val="bottom"/>
          </w:tcPr>
          <w:p>
            <w:pPr>
              <w:jc w:val="center"/>
              <w:ind w:right="548"/>
              <w:spacing w:after="0"/>
              <w:rPr>
                <w:sz w:val="20"/>
                <w:szCs w:val="20"/>
                <w:color w:val="auto"/>
              </w:rPr>
            </w:pPr>
            <w:r>
              <w:rPr>
                <w:rFonts w:ascii="Arial" w:cs="Arial" w:eastAsia="Arial" w:hAnsi="Arial"/>
                <w:sz w:val="11"/>
                <w:szCs w:val="11"/>
                <w:b w:val="1"/>
                <w:bCs w:val="1"/>
                <w:color w:val="auto"/>
              </w:rPr>
              <w:t>Delaware</w:t>
            </w:r>
          </w:p>
        </w:tc>
        <w:tc>
          <w:tcPr>
            <w:tcW w:w="2620" w:type="dxa"/>
            <w:vAlign w:val="bottom"/>
          </w:tcPr>
          <w:p>
            <w:pPr>
              <w:jc w:val="center"/>
              <w:ind w:right="28"/>
              <w:spacing w:after="0"/>
              <w:rPr>
                <w:sz w:val="20"/>
                <w:szCs w:val="20"/>
                <w:color w:val="auto"/>
              </w:rPr>
            </w:pPr>
            <w:r>
              <w:rPr>
                <w:rFonts w:ascii="Arial" w:cs="Arial" w:eastAsia="Arial" w:hAnsi="Arial"/>
                <w:sz w:val="11"/>
                <w:szCs w:val="11"/>
                <w:b w:val="1"/>
                <w:bCs w:val="1"/>
                <w:color w:val="auto"/>
              </w:rPr>
              <w:t>2836</w:t>
            </w:r>
          </w:p>
        </w:tc>
        <w:tc>
          <w:tcPr>
            <w:tcW w:w="1760" w:type="dxa"/>
            <w:vAlign w:val="bottom"/>
          </w:tcPr>
          <w:p>
            <w:pPr>
              <w:jc w:val="center"/>
              <w:ind w:left="628"/>
              <w:spacing w:after="0"/>
              <w:rPr>
                <w:sz w:val="20"/>
                <w:szCs w:val="20"/>
                <w:color w:val="auto"/>
              </w:rPr>
            </w:pPr>
            <w:r>
              <w:rPr>
                <w:rFonts w:ascii="Arial" w:cs="Arial" w:eastAsia="Arial" w:hAnsi="Arial"/>
                <w:sz w:val="11"/>
                <w:szCs w:val="11"/>
                <w:b w:val="1"/>
                <w:bCs w:val="1"/>
                <w:color w:val="auto"/>
              </w:rPr>
              <w:t>86-3384382</w:t>
            </w:r>
          </w:p>
        </w:tc>
      </w:tr>
      <w:tr>
        <w:trPr>
          <w:trHeight w:val="107"/>
        </w:trPr>
        <w:tc>
          <w:tcPr>
            <w:tcW w:w="2020" w:type="dxa"/>
            <w:vAlign w:val="bottom"/>
          </w:tcPr>
          <w:p>
            <w:pPr>
              <w:jc w:val="center"/>
              <w:ind w:right="548"/>
              <w:spacing w:after="0" w:line="108" w:lineRule="exact"/>
              <w:rPr>
                <w:sz w:val="20"/>
                <w:szCs w:val="20"/>
                <w:color w:val="auto"/>
              </w:rPr>
            </w:pPr>
            <w:r>
              <w:rPr>
                <w:rFonts w:ascii="Arial" w:cs="Arial" w:eastAsia="Arial" w:hAnsi="Arial"/>
                <w:sz w:val="10"/>
                <w:szCs w:val="10"/>
                <w:b w:val="1"/>
                <w:bCs w:val="1"/>
                <w:color w:val="auto"/>
              </w:rPr>
              <w:t>(State or other jurisdiction of</w:t>
            </w:r>
          </w:p>
        </w:tc>
        <w:tc>
          <w:tcPr>
            <w:tcW w:w="262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9"/>
              </w:rPr>
              <w:t>(Primary Standard Industrial</w:t>
            </w:r>
          </w:p>
        </w:tc>
        <w:tc>
          <w:tcPr>
            <w:tcW w:w="1760" w:type="dxa"/>
            <w:vAlign w:val="bottom"/>
          </w:tcPr>
          <w:p>
            <w:pPr>
              <w:jc w:val="center"/>
              <w:ind w:left="628"/>
              <w:spacing w:after="0" w:line="108" w:lineRule="exact"/>
              <w:rPr>
                <w:sz w:val="20"/>
                <w:szCs w:val="20"/>
                <w:color w:val="auto"/>
              </w:rPr>
            </w:pPr>
            <w:r>
              <w:rPr>
                <w:rFonts w:ascii="Arial" w:cs="Arial" w:eastAsia="Arial" w:hAnsi="Arial"/>
                <w:sz w:val="10"/>
                <w:szCs w:val="10"/>
                <w:b w:val="1"/>
                <w:bCs w:val="1"/>
                <w:color w:val="auto"/>
                <w:w w:val="99"/>
              </w:rPr>
              <w:t>(I.R.S. Employer</w:t>
            </w:r>
          </w:p>
        </w:tc>
      </w:tr>
      <w:tr>
        <w:trPr>
          <w:trHeight w:val="137"/>
        </w:trPr>
        <w:tc>
          <w:tcPr>
            <w:tcW w:w="2020" w:type="dxa"/>
            <w:vAlign w:val="bottom"/>
          </w:tcPr>
          <w:p>
            <w:pPr>
              <w:jc w:val="center"/>
              <w:ind w:right="548"/>
              <w:spacing w:after="0"/>
              <w:rPr>
                <w:sz w:val="20"/>
                <w:szCs w:val="20"/>
                <w:color w:val="auto"/>
              </w:rPr>
            </w:pPr>
            <w:r>
              <w:rPr>
                <w:rFonts w:ascii="Arial" w:cs="Arial" w:eastAsia="Arial" w:hAnsi="Arial"/>
                <w:sz w:val="10"/>
                <w:szCs w:val="10"/>
                <w:b w:val="1"/>
                <w:bCs w:val="1"/>
                <w:color w:val="auto"/>
                <w:w w:val="99"/>
              </w:rPr>
              <w:t>incorporation or organization)</w:t>
            </w:r>
          </w:p>
        </w:tc>
        <w:tc>
          <w:tcPr>
            <w:tcW w:w="2620" w:type="dxa"/>
            <w:vAlign w:val="bottom"/>
          </w:tcPr>
          <w:p>
            <w:pPr>
              <w:jc w:val="center"/>
              <w:ind w:right="48"/>
              <w:spacing w:after="0"/>
              <w:rPr>
                <w:sz w:val="20"/>
                <w:szCs w:val="20"/>
                <w:color w:val="auto"/>
              </w:rPr>
            </w:pPr>
            <w:r>
              <w:rPr>
                <w:rFonts w:ascii="Arial" w:cs="Arial" w:eastAsia="Arial" w:hAnsi="Arial"/>
                <w:sz w:val="10"/>
                <w:szCs w:val="10"/>
                <w:b w:val="1"/>
                <w:bCs w:val="1"/>
                <w:color w:val="auto"/>
                <w:w w:val="99"/>
              </w:rPr>
              <w:t>Classification Code Number)</w:t>
            </w:r>
          </w:p>
        </w:tc>
        <w:tc>
          <w:tcPr>
            <w:tcW w:w="1760" w:type="dxa"/>
            <w:vAlign w:val="bottom"/>
          </w:tcPr>
          <w:p>
            <w:pPr>
              <w:jc w:val="center"/>
              <w:ind w:left="648"/>
              <w:spacing w:after="0"/>
              <w:rPr>
                <w:sz w:val="20"/>
                <w:szCs w:val="20"/>
                <w:color w:val="auto"/>
              </w:rPr>
            </w:pPr>
            <w:r>
              <w:rPr>
                <w:rFonts w:ascii="Arial" w:cs="Arial" w:eastAsia="Arial" w:hAnsi="Arial"/>
                <w:sz w:val="10"/>
                <w:szCs w:val="10"/>
                <w:b w:val="1"/>
                <w:bCs w:val="1"/>
                <w:color w:val="auto"/>
                <w:w w:val="99"/>
              </w:rPr>
              <w:t>Identification Number)</w:t>
            </w:r>
          </w:p>
        </w:tc>
      </w:tr>
    </w:tbl>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51 Sleeper Street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Suite 800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Boston, Massachusetts 02210</w:t>
      </w:r>
    </w:p>
    <w:p>
      <w:pPr>
        <w:jc w:val="center"/>
        <w:spacing w:after="0" w:line="232" w:lineRule="auto"/>
        <w:rPr>
          <w:sz w:val="20"/>
          <w:szCs w:val="20"/>
          <w:color w:val="auto"/>
        </w:rPr>
      </w:pPr>
      <w:r>
        <w:rPr>
          <w:rFonts w:ascii="Arial" w:cs="Arial" w:eastAsia="Arial" w:hAnsi="Arial"/>
          <w:sz w:val="11"/>
          <w:szCs w:val="11"/>
          <w:b w:val="1"/>
          <w:bCs w:val="1"/>
          <w:color w:val="auto"/>
        </w:rPr>
        <w:t>(617) 865-9628</w:t>
      </w:r>
    </w:p>
    <w:p>
      <w:pPr>
        <w:jc w:val="center"/>
        <w:ind w:right="39"/>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73025</wp:posOffset>
            </wp:positionV>
            <wp:extent cx="8731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Gary D. Glick, Ph.D.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President and Chief Executive Officer</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Odyssey Therapeutics, Inc.</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51 Sleeper Street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Suite 800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Boston, Massachusetts 02210</w:t>
      </w:r>
    </w:p>
    <w:p>
      <w:pPr>
        <w:jc w:val="center"/>
        <w:ind w:right="39"/>
        <w:spacing w:after="0" w:line="232" w:lineRule="auto"/>
        <w:rPr>
          <w:sz w:val="20"/>
          <w:szCs w:val="20"/>
          <w:color w:val="auto"/>
        </w:rPr>
      </w:pPr>
      <w:r>
        <w:rPr>
          <w:rFonts w:ascii="Arial" w:cs="Arial" w:eastAsia="Arial" w:hAnsi="Arial"/>
          <w:sz w:val="11"/>
          <w:szCs w:val="11"/>
          <w:b w:val="1"/>
          <w:bCs w:val="1"/>
          <w:color w:val="auto"/>
        </w:rPr>
        <w:t>(617) 865-9628</w:t>
      </w:r>
    </w:p>
    <w:p>
      <w:pPr>
        <w:jc w:val="center"/>
        <w:ind w:right="39"/>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73025</wp:posOffset>
            </wp:positionV>
            <wp:extent cx="8731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i w:val="1"/>
          <w:iCs w:val="1"/>
          <w:color w:val="auto"/>
        </w:rPr>
        <w:t>Copies to:</w:t>
      </w:r>
    </w:p>
    <w:p>
      <w:pPr>
        <w:spacing w:after="0" w:line="51" w:lineRule="exact"/>
        <w:rPr>
          <w:sz w:val="24"/>
          <w:szCs w:val="24"/>
          <w:color w:val="auto"/>
        </w:rPr>
      </w:pPr>
    </w:p>
    <w:tbl>
      <w:tblPr>
        <w:tblLayout w:type="fixed"/>
        <w:tblInd w:w="1080" w:type="dxa"/>
        <w:tblCellMar>
          <w:top w:w="0" w:type="dxa"/>
          <w:left w:w="0" w:type="dxa"/>
          <w:bottom w:w="0" w:type="dxa"/>
          <w:right w:w="0" w:type="dxa"/>
        </w:tblCellMar>
      </w:tblPr>
      <w:tr>
        <w:trPr>
          <w:trHeight w:val="115"/>
        </w:trPr>
        <w:tc>
          <w:tcPr>
            <w:tcW w:w="2000" w:type="dxa"/>
            <w:vAlign w:val="bottom"/>
          </w:tcPr>
          <w:p>
            <w:pPr>
              <w:jc w:val="center"/>
              <w:ind w:right="270"/>
              <w:spacing w:after="0"/>
              <w:rPr>
                <w:sz w:val="20"/>
                <w:szCs w:val="20"/>
                <w:color w:val="auto"/>
              </w:rPr>
            </w:pPr>
            <w:r>
              <w:rPr>
                <w:rFonts w:ascii="Arial" w:cs="Arial" w:eastAsia="Arial" w:hAnsi="Arial"/>
                <w:sz w:val="10"/>
                <w:szCs w:val="10"/>
                <w:b w:val="1"/>
                <w:bCs w:val="1"/>
                <w:color w:val="auto"/>
              </w:rPr>
              <w:t>Brian K. Rosenzweig</w:t>
            </w:r>
          </w:p>
        </w:tc>
        <w:tc>
          <w:tcPr>
            <w:tcW w:w="2920" w:type="dxa"/>
            <w:vAlign w:val="bottom"/>
          </w:tcPr>
          <w:p>
            <w:pPr>
              <w:jc w:val="center"/>
              <w:spacing w:after="0"/>
              <w:rPr>
                <w:sz w:val="20"/>
                <w:szCs w:val="20"/>
                <w:color w:val="auto"/>
              </w:rPr>
            </w:pPr>
            <w:r>
              <w:rPr>
                <w:rFonts w:ascii="Arial" w:cs="Arial" w:eastAsia="Arial" w:hAnsi="Arial"/>
                <w:sz w:val="10"/>
                <w:szCs w:val="10"/>
                <w:b w:val="1"/>
                <w:bCs w:val="1"/>
                <w:color w:val="auto"/>
              </w:rPr>
              <w:t>Jolie M. Siegel</w:t>
            </w:r>
          </w:p>
        </w:tc>
        <w:tc>
          <w:tcPr>
            <w:tcW w:w="1780" w:type="dxa"/>
            <w:vAlign w:val="bottom"/>
          </w:tcPr>
          <w:p>
            <w:pPr>
              <w:jc w:val="center"/>
              <w:ind w:left="310"/>
              <w:spacing w:after="0"/>
              <w:rPr>
                <w:sz w:val="20"/>
                <w:szCs w:val="20"/>
                <w:color w:val="auto"/>
              </w:rPr>
            </w:pPr>
            <w:r>
              <w:rPr>
                <w:rFonts w:ascii="Arial" w:cs="Arial" w:eastAsia="Arial" w:hAnsi="Arial"/>
                <w:sz w:val="10"/>
                <w:szCs w:val="10"/>
                <w:b w:val="1"/>
                <w:bCs w:val="1"/>
                <w:color w:val="auto"/>
                <w:w w:val="99"/>
              </w:rPr>
              <w:t>Eric Blanchard</w:t>
            </w:r>
          </w:p>
        </w:tc>
        <w:tc>
          <w:tcPr>
            <w:tcW w:w="0" w:type="dxa"/>
            <w:vAlign w:val="bottom"/>
          </w:tcPr>
          <w:p>
            <w:pPr>
              <w:spacing w:after="0"/>
              <w:rPr>
                <w:sz w:val="1"/>
                <w:szCs w:val="1"/>
                <w:color w:val="auto"/>
              </w:rPr>
            </w:pPr>
          </w:p>
        </w:tc>
      </w:tr>
      <w:tr>
        <w:trPr>
          <w:trHeight w:val="107"/>
        </w:trPr>
        <w:tc>
          <w:tcPr>
            <w:tcW w:w="2000" w:type="dxa"/>
            <w:vAlign w:val="bottom"/>
          </w:tcPr>
          <w:p>
            <w:pPr>
              <w:jc w:val="center"/>
              <w:ind w:right="270"/>
              <w:spacing w:after="0" w:line="108" w:lineRule="exact"/>
              <w:rPr>
                <w:sz w:val="20"/>
                <w:szCs w:val="20"/>
                <w:color w:val="auto"/>
              </w:rPr>
            </w:pPr>
            <w:r>
              <w:rPr>
                <w:rFonts w:ascii="Arial" w:cs="Arial" w:eastAsia="Arial" w:hAnsi="Arial"/>
                <w:sz w:val="10"/>
                <w:szCs w:val="10"/>
                <w:b w:val="1"/>
                <w:bCs w:val="1"/>
                <w:color w:val="auto"/>
              </w:rPr>
              <w:t>Alicia Zhang</w:t>
            </w:r>
          </w:p>
        </w:tc>
        <w:tc>
          <w:tcPr>
            <w:tcW w:w="2920" w:type="dxa"/>
            <w:vAlign w:val="bottom"/>
          </w:tcPr>
          <w:p>
            <w:pPr>
              <w:ind w:left="320"/>
              <w:spacing w:after="0" w:line="108" w:lineRule="exact"/>
              <w:rPr>
                <w:sz w:val="20"/>
                <w:szCs w:val="20"/>
                <w:color w:val="auto"/>
              </w:rPr>
            </w:pPr>
            <w:r>
              <w:rPr>
                <w:rFonts w:ascii="Arial" w:cs="Arial" w:eastAsia="Arial" w:hAnsi="Arial"/>
                <w:sz w:val="10"/>
                <w:szCs w:val="10"/>
                <w:b w:val="1"/>
                <w:bCs w:val="1"/>
                <w:color w:val="auto"/>
              </w:rPr>
              <w:t>Executive Vice President, General Counsel and</w:t>
            </w:r>
          </w:p>
        </w:tc>
        <w:tc>
          <w:tcPr>
            <w:tcW w:w="1780" w:type="dxa"/>
            <w:vAlign w:val="bottom"/>
          </w:tcPr>
          <w:p>
            <w:pPr>
              <w:jc w:val="center"/>
              <w:ind w:left="310"/>
              <w:spacing w:after="0" w:line="108" w:lineRule="exact"/>
              <w:rPr>
                <w:sz w:val="20"/>
                <w:szCs w:val="20"/>
                <w:color w:val="auto"/>
              </w:rPr>
            </w:pPr>
            <w:r>
              <w:rPr>
                <w:rFonts w:ascii="Arial" w:cs="Arial" w:eastAsia="Arial" w:hAnsi="Arial"/>
                <w:sz w:val="10"/>
                <w:szCs w:val="10"/>
                <w:b w:val="1"/>
                <w:bCs w:val="1"/>
                <w:color w:val="auto"/>
                <w:w w:val="98"/>
              </w:rPr>
              <w:t>Richard Segal</w:t>
            </w:r>
          </w:p>
        </w:tc>
        <w:tc>
          <w:tcPr>
            <w:tcW w:w="0" w:type="dxa"/>
            <w:vAlign w:val="bottom"/>
          </w:tcPr>
          <w:p>
            <w:pPr>
              <w:spacing w:after="0"/>
              <w:rPr>
                <w:sz w:val="1"/>
                <w:szCs w:val="1"/>
                <w:color w:val="auto"/>
              </w:rPr>
            </w:pPr>
          </w:p>
        </w:tc>
      </w:tr>
      <w:tr>
        <w:trPr>
          <w:trHeight w:val="107"/>
        </w:trPr>
        <w:tc>
          <w:tcPr>
            <w:tcW w:w="2000" w:type="dxa"/>
            <w:vAlign w:val="bottom"/>
          </w:tcPr>
          <w:p>
            <w:pPr>
              <w:jc w:val="center"/>
              <w:ind w:right="270"/>
              <w:spacing w:after="0" w:line="108" w:lineRule="exact"/>
              <w:rPr>
                <w:sz w:val="20"/>
                <w:szCs w:val="20"/>
                <w:color w:val="auto"/>
              </w:rPr>
            </w:pPr>
            <w:r>
              <w:rPr>
                <w:rFonts w:ascii="Arial" w:cs="Arial" w:eastAsia="Arial" w:hAnsi="Arial"/>
                <w:sz w:val="10"/>
                <w:szCs w:val="10"/>
                <w:b w:val="1"/>
                <w:bCs w:val="1"/>
                <w:color w:val="auto"/>
              </w:rPr>
              <w:t>Joseph Gangitano</w:t>
            </w:r>
          </w:p>
        </w:tc>
        <w:tc>
          <w:tcPr>
            <w:tcW w:w="2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Secretary</w:t>
            </w:r>
          </w:p>
        </w:tc>
        <w:tc>
          <w:tcPr>
            <w:tcW w:w="1780" w:type="dxa"/>
            <w:vAlign w:val="bottom"/>
          </w:tcPr>
          <w:p>
            <w:pPr>
              <w:jc w:val="center"/>
              <w:ind w:left="290"/>
              <w:spacing w:after="0" w:line="108" w:lineRule="exact"/>
              <w:rPr>
                <w:sz w:val="20"/>
                <w:szCs w:val="20"/>
                <w:color w:val="auto"/>
              </w:rPr>
            </w:pPr>
            <w:r>
              <w:rPr>
                <w:rFonts w:ascii="Arial" w:cs="Arial" w:eastAsia="Arial" w:hAnsi="Arial"/>
                <w:sz w:val="10"/>
                <w:szCs w:val="10"/>
                <w:b w:val="1"/>
                <w:bCs w:val="1"/>
                <w:color w:val="auto"/>
              </w:rPr>
              <w:t>Divakar Gupta</w:t>
            </w:r>
          </w:p>
        </w:tc>
        <w:tc>
          <w:tcPr>
            <w:tcW w:w="0" w:type="dxa"/>
            <w:vAlign w:val="bottom"/>
          </w:tcPr>
          <w:p>
            <w:pPr>
              <w:spacing w:after="0"/>
              <w:rPr>
                <w:sz w:val="1"/>
                <w:szCs w:val="1"/>
                <w:color w:val="auto"/>
              </w:rPr>
            </w:pPr>
          </w:p>
        </w:tc>
      </w:tr>
      <w:tr>
        <w:trPr>
          <w:trHeight w:val="107"/>
        </w:trPr>
        <w:tc>
          <w:tcPr>
            <w:tcW w:w="2000" w:type="dxa"/>
            <w:vAlign w:val="bottom"/>
          </w:tcPr>
          <w:p>
            <w:pPr>
              <w:jc w:val="center"/>
              <w:ind w:right="270"/>
              <w:spacing w:after="0" w:line="108" w:lineRule="exact"/>
              <w:rPr>
                <w:sz w:val="20"/>
                <w:szCs w:val="20"/>
                <w:color w:val="auto"/>
              </w:rPr>
            </w:pPr>
            <w:r>
              <w:rPr>
                <w:rFonts w:ascii="Arial" w:cs="Arial" w:eastAsia="Arial" w:hAnsi="Arial"/>
                <w:sz w:val="10"/>
                <w:szCs w:val="10"/>
                <w:b w:val="1"/>
                <w:bCs w:val="1"/>
                <w:color w:val="auto"/>
              </w:rPr>
              <w:t>Megan N. Gates</w:t>
            </w:r>
          </w:p>
        </w:tc>
        <w:tc>
          <w:tcPr>
            <w:tcW w:w="2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Odyssey Therapeutics, Inc.</w:t>
            </w:r>
          </w:p>
        </w:tc>
        <w:tc>
          <w:tcPr>
            <w:tcW w:w="1780" w:type="dxa"/>
            <w:vAlign w:val="bottom"/>
          </w:tcPr>
          <w:p>
            <w:pPr>
              <w:jc w:val="center"/>
              <w:ind w:left="290"/>
              <w:spacing w:after="0" w:line="108" w:lineRule="exact"/>
              <w:rPr>
                <w:sz w:val="20"/>
                <w:szCs w:val="20"/>
                <w:color w:val="auto"/>
              </w:rPr>
            </w:pPr>
            <w:r>
              <w:rPr>
                <w:rFonts w:ascii="Arial" w:cs="Arial" w:eastAsia="Arial" w:hAnsi="Arial"/>
                <w:sz w:val="10"/>
                <w:szCs w:val="10"/>
                <w:b w:val="1"/>
                <w:bCs w:val="1"/>
                <w:color w:val="auto"/>
                <w:w w:val="99"/>
              </w:rPr>
              <w:t>Evan Leitner</w:t>
            </w:r>
          </w:p>
        </w:tc>
        <w:tc>
          <w:tcPr>
            <w:tcW w:w="0" w:type="dxa"/>
            <w:vAlign w:val="bottom"/>
          </w:tcPr>
          <w:p>
            <w:pPr>
              <w:spacing w:after="0"/>
              <w:rPr>
                <w:sz w:val="1"/>
                <w:szCs w:val="1"/>
                <w:color w:val="auto"/>
              </w:rPr>
            </w:pPr>
          </w:p>
        </w:tc>
      </w:tr>
      <w:tr>
        <w:trPr>
          <w:trHeight w:val="137"/>
        </w:trPr>
        <w:tc>
          <w:tcPr>
            <w:tcW w:w="2000" w:type="dxa"/>
            <w:vAlign w:val="bottom"/>
          </w:tcPr>
          <w:p>
            <w:pPr>
              <w:jc w:val="center"/>
              <w:ind w:right="270"/>
              <w:spacing w:after="0"/>
              <w:rPr>
                <w:sz w:val="20"/>
                <w:szCs w:val="20"/>
                <w:color w:val="auto"/>
              </w:rPr>
            </w:pPr>
            <w:r>
              <w:rPr>
                <w:rFonts w:ascii="Arial" w:cs="Arial" w:eastAsia="Arial" w:hAnsi="Arial"/>
                <w:sz w:val="10"/>
                <w:szCs w:val="10"/>
                <w:b w:val="1"/>
                <w:bCs w:val="1"/>
                <w:color w:val="auto"/>
              </w:rPr>
              <w:t>Covington &amp; Burling LLP</w:t>
            </w:r>
          </w:p>
        </w:tc>
        <w:tc>
          <w:tcPr>
            <w:tcW w:w="29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51 Sleeper Street</w:t>
            </w:r>
          </w:p>
        </w:tc>
        <w:tc>
          <w:tcPr>
            <w:tcW w:w="1780" w:type="dxa"/>
            <w:vAlign w:val="bottom"/>
          </w:tcPr>
          <w:p>
            <w:pPr>
              <w:jc w:val="center"/>
              <w:ind w:left="290"/>
              <w:spacing w:after="0"/>
              <w:rPr>
                <w:sz w:val="20"/>
                <w:szCs w:val="20"/>
                <w:color w:val="auto"/>
              </w:rPr>
            </w:pPr>
            <w:r>
              <w:rPr>
                <w:rFonts w:ascii="Arial" w:cs="Arial" w:eastAsia="Arial" w:hAnsi="Arial"/>
                <w:sz w:val="10"/>
                <w:szCs w:val="10"/>
                <w:b w:val="1"/>
                <w:bCs w:val="1"/>
                <w:color w:val="auto"/>
              </w:rPr>
              <w:t>Cooley LLP</w:t>
            </w:r>
          </w:p>
        </w:tc>
        <w:tc>
          <w:tcPr>
            <w:tcW w:w="0" w:type="dxa"/>
            <w:vAlign w:val="bottom"/>
          </w:tcPr>
          <w:p>
            <w:pPr>
              <w:spacing w:after="0"/>
              <w:rPr>
                <w:sz w:val="1"/>
                <w:szCs w:val="1"/>
                <w:color w:val="auto"/>
              </w:rPr>
            </w:pPr>
          </w:p>
        </w:tc>
      </w:tr>
      <w:tr>
        <w:trPr>
          <w:trHeight w:val="78"/>
        </w:trPr>
        <w:tc>
          <w:tcPr>
            <w:tcW w:w="2000" w:type="dxa"/>
            <w:vAlign w:val="bottom"/>
            <w:vMerge w:val="restart"/>
          </w:tcPr>
          <w:p>
            <w:pPr>
              <w:jc w:val="center"/>
              <w:ind w:right="270"/>
              <w:spacing w:after="0"/>
              <w:rPr>
                <w:sz w:val="20"/>
                <w:szCs w:val="20"/>
                <w:color w:val="auto"/>
              </w:rPr>
            </w:pPr>
            <w:r>
              <w:rPr>
                <w:rFonts w:ascii="Arial" w:cs="Arial" w:eastAsia="Arial" w:hAnsi="Arial"/>
                <w:sz w:val="10"/>
                <w:szCs w:val="10"/>
                <w:b w:val="1"/>
                <w:bCs w:val="1"/>
                <w:color w:val="auto"/>
              </w:rPr>
              <w:t>One International Place, Suite 1020</w:t>
            </w:r>
          </w:p>
        </w:tc>
        <w:tc>
          <w:tcPr>
            <w:tcW w:w="292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00" w:type="dxa"/>
            <w:vAlign w:val="bottom"/>
            <w:vMerge w:val="continue"/>
          </w:tcPr>
          <w:p>
            <w:pPr>
              <w:spacing w:after="0"/>
              <w:rPr>
                <w:sz w:val="4"/>
                <w:szCs w:val="4"/>
                <w:color w:val="auto"/>
              </w:rPr>
            </w:pPr>
          </w:p>
        </w:tc>
        <w:tc>
          <w:tcPr>
            <w:tcW w:w="2920" w:type="dxa"/>
            <w:vAlign w:val="bottom"/>
            <w:vMerge w:val="restart"/>
          </w:tcPr>
          <w:p>
            <w:pPr>
              <w:jc w:val="center"/>
              <w:spacing w:after="0" w:line="108" w:lineRule="exact"/>
              <w:rPr>
                <w:sz w:val="20"/>
                <w:szCs w:val="20"/>
                <w:color w:val="auto"/>
              </w:rPr>
            </w:pPr>
            <w:r>
              <w:rPr>
                <w:rFonts w:ascii="Arial" w:cs="Arial" w:eastAsia="Arial" w:hAnsi="Arial"/>
                <w:sz w:val="10"/>
                <w:szCs w:val="10"/>
                <w:b w:val="1"/>
                <w:bCs w:val="1"/>
                <w:color w:val="auto"/>
              </w:rPr>
              <w:t>Suite 800</w:t>
            </w:r>
          </w:p>
        </w:tc>
        <w:tc>
          <w:tcPr>
            <w:tcW w:w="1780" w:type="dxa"/>
            <w:vAlign w:val="bottom"/>
            <w:vMerge w:val="restart"/>
          </w:tcPr>
          <w:p>
            <w:pPr>
              <w:jc w:val="center"/>
              <w:ind w:left="310"/>
              <w:spacing w:after="0" w:line="108" w:lineRule="exact"/>
              <w:rPr>
                <w:sz w:val="20"/>
                <w:szCs w:val="20"/>
                <w:color w:val="auto"/>
              </w:rPr>
            </w:pPr>
            <w:r>
              <w:rPr>
                <w:rFonts w:ascii="Arial" w:cs="Arial" w:eastAsia="Arial" w:hAnsi="Arial"/>
                <w:sz w:val="10"/>
                <w:szCs w:val="10"/>
                <w:b w:val="1"/>
                <w:bCs w:val="1"/>
                <w:color w:val="auto"/>
              </w:rPr>
              <w:t>500 Boylston Street</w:t>
            </w:r>
          </w:p>
        </w:tc>
        <w:tc>
          <w:tcPr>
            <w:tcW w:w="0" w:type="dxa"/>
            <w:vAlign w:val="bottom"/>
          </w:tcPr>
          <w:p>
            <w:pPr>
              <w:spacing w:after="0"/>
              <w:rPr>
                <w:sz w:val="1"/>
                <w:szCs w:val="1"/>
                <w:color w:val="auto"/>
              </w:rPr>
            </w:pPr>
          </w:p>
        </w:tc>
      </w:tr>
      <w:tr>
        <w:trPr>
          <w:trHeight w:val="54"/>
        </w:trPr>
        <w:tc>
          <w:tcPr>
            <w:tcW w:w="2000" w:type="dxa"/>
            <w:vAlign w:val="bottom"/>
            <w:vMerge w:val="restart"/>
          </w:tcPr>
          <w:p>
            <w:pPr>
              <w:jc w:val="center"/>
              <w:ind w:right="270"/>
              <w:spacing w:after="0" w:line="108" w:lineRule="exact"/>
              <w:rPr>
                <w:sz w:val="20"/>
                <w:szCs w:val="20"/>
                <w:color w:val="auto"/>
              </w:rPr>
            </w:pPr>
            <w:r>
              <w:rPr>
                <w:rFonts w:ascii="Arial" w:cs="Arial" w:eastAsia="Arial" w:hAnsi="Arial"/>
                <w:sz w:val="10"/>
                <w:szCs w:val="10"/>
                <w:b w:val="1"/>
                <w:bCs w:val="1"/>
                <w:color w:val="auto"/>
              </w:rPr>
              <w:t>Boston, Massachusetts 02110</w:t>
            </w:r>
          </w:p>
        </w:tc>
        <w:tc>
          <w:tcPr>
            <w:tcW w:w="29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00" w:type="dxa"/>
            <w:vAlign w:val="bottom"/>
            <w:vMerge w:val="continue"/>
          </w:tcPr>
          <w:p>
            <w:pPr>
              <w:spacing w:after="0"/>
              <w:rPr>
                <w:sz w:val="4"/>
                <w:szCs w:val="4"/>
                <w:color w:val="auto"/>
              </w:rPr>
            </w:pPr>
          </w:p>
        </w:tc>
        <w:tc>
          <w:tcPr>
            <w:tcW w:w="2920" w:type="dxa"/>
            <w:vAlign w:val="bottom"/>
            <w:vMerge w:val="restart"/>
          </w:tcPr>
          <w:p>
            <w:pPr>
              <w:jc w:val="center"/>
              <w:spacing w:after="0" w:line="108" w:lineRule="exact"/>
              <w:rPr>
                <w:sz w:val="20"/>
                <w:szCs w:val="20"/>
                <w:color w:val="auto"/>
              </w:rPr>
            </w:pPr>
            <w:r>
              <w:rPr>
                <w:rFonts w:ascii="Arial" w:cs="Arial" w:eastAsia="Arial" w:hAnsi="Arial"/>
                <w:sz w:val="10"/>
                <w:szCs w:val="10"/>
                <w:b w:val="1"/>
                <w:bCs w:val="1"/>
                <w:color w:val="auto"/>
                <w:w w:val="99"/>
              </w:rPr>
              <w:t>Boston, Massachusetts 02210</w:t>
            </w:r>
          </w:p>
        </w:tc>
        <w:tc>
          <w:tcPr>
            <w:tcW w:w="1780" w:type="dxa"/>
            <w:vAlign w:val="bottom"/>
            <w:vMerge w:val="restart"/>
          </w:tcPr>
          <w:p>
            <w:pPr>
              <w:jc w:val="center"/>
              <w:ind w:left="310"/>
              <w:spacing w:after="0" w:line="108" w:lineRule="exact"/>
              <w:rPr>
                <w:sz w:val="20"/>
                <w:szCs w:val="20"/>
                <w:color w:val="auto"/>
              </w:rPr>
            </w:pPr>
            <w:r>
              <w:rPr>
                <w:rFonts w:ascii="Arial" w:cs="Arial" w:eastAsia="Arial" w:hAnsi="Arial"/>
                <w:sz w:val="10"/>
                <w:szCs w:val="10"/>
                <w:b w:val="1"/>
                <w:bCs w:val="1"/>
                <w:color w:val="auto"/>
                <w:w w:val="99"/>
              </w:rPr>
              <w:t>Boston, Massachusetts 02116</w:t>
            </w:r>
          </w:p>
        </w:tc>
        <w:tc>
          <w:tcPr>
            <w:tcW w:w="0" w:type="dxa"/>
            <w:vAlign w:val="bottom"/>
          </w:tcPr>
          <w:p>
            <w:pPr>
              <w:spacing w:after="0"/>
              <w:rPr>
                <w:sz w:val="1"/>
                <w:szCs w:val="1"/>
                <w:color w:val="auto"/>
              </w:rPr>
            </w:pPr>
          </w:p>
        </w:tc>
      </w:tr>
      <w:tr>
        <w:trPr>
          <w:trHeight w:val="54"/>
        </w:trPr>
        <w:tc>
          <w:tcPr>
            <w:tcW w:w="2000" w:type="dxa"/>
            <w:vAlign w:val="bottom"/>
            <w:vMerge w:val="restart"/>
          </w:tcPr>
          <w:p>
            <w:pPr>
              <w:jc w:val="center"/>
              <w:ind w:right="270"/>
              <w:spacing w:after="0"/>
              <w:rPr>
                <w:sz w:val="20"/>
                <w:szCs w:val="20"/>
                <w:color w:val="auto"/>
              </w:rPr>
            </w:pPr>
            <w:r>
              <w:rPr>
                <w:rFonts w:ascii="Arial" w:cs="Arial" w:eastAsia="Arial" w:hAnsi="Arial"/>
                <w:sz w:val="10"/>
                <w:szCs w:val="10"/>
                <w:b w:val="1"/>
                <w:bCs w:val="1"/>
                <w:color w:val="auto"/>
                <w:w w:val="99"/>
              </w:rPr>
              <w:t>(617) 603-8805</w:t>
            </w:r>
          </w:p>
        </w:tc>
        <w:tc>
          <w:tcPr>
            <w:tcW w:w="29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00" w:type="dxa"/>
            <w:vAlign w:val="bottom"/>
            <w:vMerge w:val="continue"/>
          </w:tcPr>
          <w:p>
            <w:pPr>
              <w:spacing w:after="0"/>
              <w:rPr>
                <w:sz w:val="7"/>
                <w:szCs w:val="7"/>
                <w:color w:val="auto"/>
              </w:rPr>
            </w:pPr>
          </w:p>
        </w:tc>
        <w:tc>
          <w:tcPr>
            <w:tcW w:w="2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(617) 865-9628</w:t>
            </w:r>
          </w:p>
        </w:tc>
        <w:tc>
          <w:tcPr>
            <w:tcW w:w="1780" w:type="dxa"/>
            <w:vAlign w:val="bottom"/>
            <w:vMerge w:val="restart"/>
          </w:tcPr>
          <w:p>
            <w:pPr>
              <w:jc w:val="center"/>
              <w:ind w:left="290"/>
              <w:spacing w:after="0"/>
              <w:rPr>
                <w:sz w:val="20"/>
                <w:szCs w:val="20"/>
                <w:color w:val="auto"/>
              </w:rPr>
            </w:pPr>
            <w:r>
              <w:rPr>
                <w:rFonts w:ascii="Arial" w:cs="Arial" w:eastAsia="Arial" w:hAnsi="Arial"/>
                <w:sz w:val="10"/>
                <w:szCs w:val="10"/>
                <w:b w:val="1"/>
                <w:bCs w:val="1"/>
                <w:color w:val="auto"/>
                <w:w w:val="99"/>
              </w:rPr>
              <w:t>(617) 937-2300</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161290</wp:posOffset>
            </wp:positionV>
            <wp:extent cx="8731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this registration statement becomes effective.</w:t>
      </w:r>
    </w:p>
    <w:p>
      <w:pPr>
        <w:spacing w:after="0" w:line="47" w:lineRule="exact"/>
        <w:rPr>
          <w:sz w:val="24"/>
          <w:szCs w:val="24"/>
          <w:color w:val="auto"/>
        </w:rPr>
      </w:pPr>
    </w:p>
    <w:p>
      <w:pPr>
        <w:ind w:left="640" w:right="679" w:firstLine="351"/>
        <w:spacing w:after="0" w:line="148"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1"/>
          <w:szCs w:val="11"/>
          <w:color w:val="auto"/>
        </w:rPr>
        <w:t>☐</w:t>
      </w:r>
    </w:p>
    <w:p>
      <w:pPr>
        <w:spacing w:after="0" w:line="17" w:lineRule="exact"/>
        <w:rPr>
          <w:sz w:val="24"/>
          <w:szCs w:val="24"/>
          <w:color w:val="auto"/>
        </w:rPr>
      </w:pPr>
    </w:p>
    <w:p>
      <w:pPr>
        <w:ind w:left="640" w:right="699" w:firstLine="351"/>
        <w:spacing w:after="0" w:line="148"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640" w:right="819" w:firstLine="351"/>
        <w:spacing w:after="0" w:line="148"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640" w:right="819" w:firstLine="351"/>
        <w:spacing w:after="0" w:line="148"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640" w:right="719" w:firstLine="351"/>
        <w:spacing w:after="0" w:line="26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640" w:type="dxa"/>
        <w:tblCellMar>
          <w:top w:w="0" w:type="dxa"/>
          <w:left w:w="0" w:type="dxa"/>
          <w:bottom w:w="0" w:type="dxa"/>
          <w:right w:w="0" w:type="dxa"/>
        </w:tblCellMar>
      </w:tblPr>
      <w:tr>
        <w:trPr>
          <w:trHeight w:val="151"/>
        </w:trPr>
        <w:tc>
          <w:tcPr>
            <w:tcW w:w="11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520" w:type="dxa"/>
            <w:vAlign w:val="bottom"/>
          </w:tcPr>
          <w:p>
            <w:pPr>
              <w:ind w:left="60"/>
              <w:spacing w:after="0" w:line="111" w:lineRule="exact"/>
              <w:rPr>
                <w:sz w:val="20"/>
                <w:szCs w:val="20"/>
                <w:color w:val="auto"/>
              </w:rPr>
            </w:pPr>
            <w:r>
              <w:rPr>
                <w:rFonts w:ascii="MS PGothic" w:cs="MS PGothic" w:eastAsia="MS PGothic" w:hAnsi="MS PGothic"/>
                <w:sz w:val="11"/>
                <w:szCs w:val="11"/>
                <w:color w:val="auto"/>
              </w:rPr>
              <w:t>☐</w:t>
            </w:r>
          </w:p>
        </w:tc>
        <w:tc>
          <w:tcPr>
            <w:tcW w:w="3760" w:type="dxa"/>
            <w:vAlign w:val="bottom"/>
          </w:tcPr>
          <w:p>
            <w:pPr>
              <w:ind w:left="2360"/>
              <w:spacing w:after="0"/>
              <w:rPr>
                <w:sz w:val="20"/>
                <w:szCs w:val="20"/>
                <w:color w:val="auto"/>
              </w:rPr>
            </w:pPr>
            <w:r>
              <w:rPr>
                <w:rFonts w:ascii="Arial" w:cs="Arial" w:eastAsia="Arial" w:hAnsi="Arial"/>
                <w:sz w:val="11"/>
                <w:szCs w:val="11"/>
                <w:color w:val="auto"/>
              </w:rPr>
              <w:t>Accelerated filer</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0"/>
        </w:trPr>
        <w:tc>
          <w:tcPr>
            <w:tcW w:w="1180" w:type="dxa"/>
            <w:vAlign w:val="bottom"/>
          </w:tcPr>
          <w:p>
            <w:pPr>
              <w:spacing w:after="0"/>
              <w:rPr>
                <w:sz w:val="20"/>
                <w:szCs w:val="20"/>
                <w:color w:val="auto"/>
              </w:rPr>
            </w:pPr>
            <w:r>
              <w:rPr>
                <w:rFonts w:ascii="Arial" w:cs="Arial" w:eastAsia="Arial" w:hAnsi="Arial"/>
                <w:sz w:val="11"/>
                <w:szCs w:val="11"/>
                <w:color w:val="auto"/>
              </w:rPr>
              <w:t>Non-accelerated filer</w:t>
            </w:r>
          </w:p>
        </w:tc>
        <w:tc>
          <w:tcPr>
            <w:tcW w:w="2520" w:type="dxa"/>
            <w:vAlign w:val="bottom"/>
          </w:tcPr>
          <w:p>
            <w:pPr>
              <w:ind w:left="60"/>
              <w:spacing w:after="0" w:line="111" w:lineRule="exact"/>
              <w:rPr>
                <w:sz w:val="20"/>
                <w:szCs w:val="20"/>
                <w:color w:val="auto"/>
              </w:rPr>
            </w:pPr>
            <w:r>
              <w:rPr>
                <w:rFonts w:ascii="MS PGothic" w:cs="MS PGothic" w:eastAsia="MS PGothic" w:hAnsi="MS PGothic"/>
                <w:sz w:val="11"/>
                <w:szCs w:val="11"/>
                <w:color w:val="auto"/>
              </w:rPr>
              <w:t>☒</w:t>
            </w:r>
          </w:p>
        </w:tc>
        <w:tc>
          <w:tcPr>
            <w:tcW w:w="3760" w:type="dxa"/>
            <w:vAlign w:val="bottom"/>
          </w:tcPr>
          <w:p>
            <w:pPr>
              <w:ind w:left="2360"/>
              <w:spacing w:after="0"/>
              <w:rPr>
                <w:sz w:val="20"/>
                <w:szCs w:val="20"/>
                <w:color w:val="auto"/>
              </w:rPr>
            </w:pPr>
            <w:r>
              <w:rPr>
                <w:rFonts w:ascii="Arial" w:cs="Arial" w:eastAsia="Arial" w:hAnsi="Arial"/>
                <w:sz w:val="11"/>
                <w:szCs w:val="11"/>
                <w:color w:val="auto"/>
              </w:rPr>
              <w:t>Smaller reporting company</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760" w:type="dxa"/>
            <w:vAlign w:val="bottom"/>
          </w:tcPr>
          <w:p>
            <w:pPr>
              <w:ind w:left="2360"/>
              <w:spacing w:after="0"/>
              <w:rPr>
                <w:sz w:val="20"/>
                <w:szCs w:val="20"/>
                <w:color w:val="auto"/>
              </w:rPr>
            </w:pPr>
            <w:r>
              <w:rPr>
                <w:rFonts w:ascii="Arial" w:cs="Arial" w:eastAsia="Arial" w:hAnsi="Arial"/>
                <w:sz w:val="11"/>
                <w:szCs w:val="11"/>
                <w:color w:val="auto"/>
              </w:rPr>
              <w:t>Emerging growth company</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7" w:lineRule="exact"/>
        <w:rPr>
          <w:sz w:val="24"/>
          <w:szCs w:val="24"/>
          <w:color w:val="auto"/>
        </w:rPr>
      </w:pPr>
    </w:p>
    <w:p>
      <w:pPr>
        <w:jc w:val="both"/>
        <w:ind w:left="640" w:right="779" w:firstLine="351"/>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76200</wp:posOffset>
            </wp:positionV>
            <wp:extent cx="8731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167" w:lineRule="exact"/>
        <w:rPr>
          <w:sz w:val="24"/>
          <w:szCs w:val="24"/>
          <w:color w:val="auto"/>
        </w:rPr>
      </w:pPr>
    </w:p>
    <w:p>
      <w:pPr>
        <w:ind w:left="640" w:right="659" w:firstLine="351"/>
        <w:spacing w:after="0" w:line="264"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628015</wp:posOffset>
            </wp:positionV>
            <wp:extent cx="56038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20320</wp:posOffset>
            </wp:positionV>
            <wp:extent cx="490982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33655</wp:posOffset>
            </wp:positionV>
            <wp:extent cx="490982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220" w:type="dxa"/>
        <w:tblCellMar>
          <w:top w:w="0" w:type="dxa"/>
          <w:left w:w="0" w:type="dxa"/>
          <w:bottom w:w="0" w:type="dxa"/>
          <w:right w:w="0" w:type="dxa"/>
        </w:tblCellMar>
      </w:tblPr>
      <w:tr>
        <w:trPr>
          <w:trHeight w:val="1455"/>
        </w:trPr>
        <w:tc>
          <w:tcPr>
            <w:tcW w:w="120" w:type="dxa"/>
            <w:vAlign w:val="bottom"/>
            <w:textDirection w:val="btLr"/>
          </w:tcPr>
          <w:p>
            <w:pPr>
              <w:spacing w:after="0"/>
              <w:rPr>
                <w:sz w:val="20"/>
                <w:szCs w:val="20"/>
                <w:color w:val="auto"/>
              </w:rPr>
            </w:pPr>
            <w:r>
              <w:rPr>
                <w:rFonts w:ascii="Arial" w:cs="Arial" w:eastAsia="Arial" w:hAnsi="Arial"/>
                <w:sz w:val="13"/>
                <w:szCs w:val="13"/>
                <w:color w:val="DE1A1E"/>
                <w:w w:val="98"/>
              </w:rPr>
              <w:t>Securities and Exchange</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7"/>
              </w:rPr>
              <w:t>is not permitted.</w:t>
            </w:r>
          </w:p>
        </w:tc>
      </w:tr>
      <w:tr>
        <w:trPr>
          <w:trHeight w:val="738"/>
        </w:trPr>
        <w:tc>
          <w:tcPr>
            <w:tcW w:w="120" w:type="dxa"/>
            <w:vAlign w:val="bottom"/>
            <w:textDirection w:val="btLr"/>
          </w:tcPr>
          <w:p>
            <w:pPr>
              <w:spacing w:after="0"/>
              <w:rPr>
                <w:sz w:val="20"/>
                <w:szCs w:val="20"/>
                <w:color w:val="auto"/>
              </w:rPr>
            </w:pPr>
            <w:r>
              <w:rPr>
                <w:rFonts w:ascii="Arial" w:cs="Arial" w:eastAsia="Arial" w:hAnsi="Arial"/>
                <w:sz w:val="13"/>
                <w:szCs w:val="13"/>
                <w:color w:val="DE1A1E"/>
                <w:w w:val="99"/>
              </w:rPr>
              <w:t>filed with the</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8"/>
              </w:rPr>
              <w:t>offer or sale</w:t>
            </w:r>
          </w:p>
        </w:tc>
      </w:tr>
      <w:tr>
        <w:trPr>
          <w:trHeight w:val="605"/>
        </w:trPr>
        <w:tc>
          <w:tcPr>
            <w:tcW w:w="120" w:type="dxa"/>
            <w:vAlign w:val="bottom"/>
            <w:textDirection w:val="btLr"/>
          </w:tcPr>
          <w:p>
            <w:pPr>
              <w:spacing w:after="0"/>
              <w:rPr>
                <w:sz w:val="20"/>
                <w:szCs w:val="20"/>
                <w:color w:val="auto"/>
              </w:rPr>
            </w:pPr>
            <w:r>
              <w:rPr>
                <w:rFonts w:ascii="Arial" w:cs="Arial" w:eastAsia="Arial" w:hAnsi="Arial"/>
                <w:sz w:val="13"/>
                <w:szCs w:val="13"/>
                <w:color w:val="DE1A1E"/>
              </w:rPr>
              <w:t>statement</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8"/>
              </w:rPr>
              <w:t>where the</w:t>
            </w:r>
          </w:p>
        </w:tc>
      </w:tr>
      <w:tr>
        <w:trPr>
          <w:trHeight w:val="894"/>
        </w:trPr>
        <w:tc>
          <w:tcPr>
            <w:tcW w:w="120" w:type="dxa"/>
            <w:vAlign w:val="bottom"/>
            <w:textDirection w:val="btLr"/>
          </w:tcPr>
          <w:p>
            <w:pPr>
              <w:spacing w:after="0"/>
              <w:rPr>
                <w:sz w:val="20"/>
                <w:szCs w:val="20"/>
                <w:color w:val="auto"/>
              </w:rPr>
            </w:pPr>
            <w:r>
              <w:rPr>
                <w:rFonts w:ascii="Arial" w:cs="Arial" w:eastAsia="Arial" w:hAnsi="Arial"/>
                <w:sz w:val="13"/>
                <w:szCs w:val="13"/>
                <w:color w:val="DE1A1E"/>
                <w:w w:val="97"/>
              </w:rPr>
              <w:t>the registration</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9"/>
              </w:rPr>
              <w:t>any jurisdiction</w:t>
            </w:r>
          </w:p>
        </w:tc>
      </w:tr>
      <w:tr>
        <w:trPr>
          <w:trHeight w:val="2213"/>
        </w:trPr>
        <w:tc>
          <w:tcPr>
            <w:tcW w:w="120" w:type="dxa"/>
            <w:vAlign w:val="bottom"/>
            <w:textDirection w:val="btLr"/>
          </w:tcPr>
          <w:p>
            <w:pPr>
              <w:spacing w:after="0"/>
              <w:rPr>
                <w:sz w:val="20"/>
                <w:szCs w:val="20"/>
                <w:color w:val="auto"/>
              </w:rPr>
            </w:pPr>
            <w:r>
              <w:rPr>
                <w:rFonts w:ascii="Arial" w:cs="Arial" w:eastAsia="Arial" w:hAnsi="Arial"/>
                <w:sz w:val="13"/>
                <w:szCs w:val="13"/>
                <w:color w:val="DE1A1E"/>
              </w:rPr>
              <w:t>These securities may not be sold until</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9"/>
              </w:rPr>
              <w:t>seek an offer to buy these securities in</w:t>
            </w:r>
          </w:p>
        </w:tc>
      </w:tr>
      <w:tr>
        <w:trPr>
          <w:trHeight w:val="1034"/>
        </w:trPr>
        <w:tc>
          <w:tcPr>
            <w:tcW w:w="120" w:type="dxa"/>
            <w:vAlign w:val="bottom"/>
            <w:textDirection w:val="btLr"/>
          </w:tcPr>
          <w:p>
            <w:pPr>
              <w:spacing w:after="0"/>
              <w:rPr>
                <w:sz w:val="20"/>
                <w:szCs w:val="20"/>
                <w:color w:val="auto"/>
              </w:rPr>
            </w:pPr>
            <w:r>
              <w:rPr>
                <w:rFonts w:ascii="Arial" w:cs="Arial" w:eastAsia="Arial" w:hAnsi="Arial"/>
                <w:sz w:val="13"/>
                <w:szCs w:val="13"/>
                <w:color w:val="DE1A1E"/>
              </w:rPr>
              <w:t>may be changed.</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9"/>
              </w:rPr>
              <w:t>to sell nor does it</w:t>
            </w:r>
          </w:p>
        </w:tc>
      </w:tr>
      <w:tr>
        <w:trPr>
          <w:trHeight w:val="816"/>
        </w:trPr>
        <w:tc>
          <w:tcPr>
            <w:tcW w:w="120" w:type="dxa"/>
            <w:vAlign w:val="bottom"/>
            <w:textDirection w:val="btLr"/>
          </w:tcPr>
          <w:p>
            <w:pPr>
              <w:spacing w:after="0"/>
              <w:rPr>
                <w:sz w:val="20"/>
                <w:szCs w:val="20"/>
                <w:color w:val="auto"/>
              </w:rPr>
            </w:pPr>
            <w:r>
              <w:rPr>
                <w:rFonts w:ascii="Arial" w:cs="Arial" w:eastAsia="Arial" w:hAnsi="Arial"/>
                <w:sz w:val="13"/>
                <w:szCs w:val="13"/>
                <w:color w:val="DE1A1E"/>
                <w:w w:val="97"/>
              </w:rPr>
              <w:t>complete and</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8"/>
              </w:rPr>
              <w:t>is not an offer</w:t>
            </w:r>
          </w:p>
        </w:tc>
      </w:tr>
      <w:tr>
        <w:trPr>
          <w:trHeight w:val="3004"/>
        </w:trPr>
        <w:tc>
          <w:tcPr>
            <w:tcW w:w="120" w:type="dxa"/>
            <w:vAlign w:val="bottom"/>
            <w:textDirection w:val="btLr"/>
          </w:tcPr>
          <w:p>
            <w:pPr>
              <w:spacing w:after="0"/>
              <w:rPr>
                <w:sz w:val="20"/>
                <w:szCs w:val="20"/>
                <w:color w:val="auto"/>
              </w:rPr>
            </w:pPr>
            <w:r>
              <w:rPr>
                <w:rFonts w:ascii="Arial" w:cs="Arial" w:eastAsia="Arial" w:hAnsi="Arial"/>
                <w:sz w:val="13"/>
                <w:szCs w:val="13"/>
                <w:color w:val="DE1A1E"/>
              </w:rPr>
              <w:t>The information in this preliminary prospectus is not</w:t>
            </w:r>
          </w:p>
        </w:tc>
        <w:tc>
          <w:tcPr>
            <w:tcW w:w="140" w:type="dxa"/>
            <w:vAlign w:val="bottom"/>
            <w:textDirection w:val="btLr"/>
          </w:tcPr>
          <w:p>
            <w:pPr>
              <w:spacing w:after="0"/>
              <w:rPr>
                <w:sz w:val="20"/>
                <w:szCs w:val="20"/>
                <w:color w:val="auto"/>
              </w:rPr>
            </w:pPr>
            <w:r>
              <w:rPr>
                <w:rFonts w:ascii="Arial" w:cs="Arial" w:eastAsia="Arial" w:hAnsi="Arial"/>
                <w:sz w:val="13"/>
                <w:szCs w:val="13"/>
                <w:color w:val="DE1A1E"/>
                <w:w w:val="99"/>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322"/>
        <w:spacing w:after="0"/>
        <w:rPr>
          <w:sz w:val="20"/>
          <w:szCs w:val="20"/>
          <w:color w:val="auto"/>
        </w:rPr>
      </w:pPr>
      <w:r>
        <w:rPr>
          <w:rFonts w:ascii="Arial" w:cs="Arial" w:eastAsia="Arial" w:hAnsi="Arial"/>
          <w:sz w:val="14"/>
          <w:szCs w:val="14"/>
          <w:color w:val="DE1A1E"/>
        </w:rPr>
        <w:t>Subject To Completion, Dated                , 2026</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4"/>
          <w:szCs w:val="14"/>
          <w:color w:val="DE1A1E"/>
        </w:rPr>
        <w:t>Preliminary Prospectus</w:t>
      </w:r>
    </w:p>
    <w:p>
      <w:pPr>
        <w:spacing w:after="0" w:line="146" w:lineRule="exact"/>
        <w:rPr>
          <w:sz w:val="20"/>
          <w:szCs w:val="20"/>
          <w:color w:val="auto"/>
        </w:rPr>
      </w:pPr>
    </w:p>
    <w:p>
      <w:pPr>
        <w:ind w:left="3102"/>
        <w:spacing w:after="0"/>
        <w:tabs>
          <w:tab w:leader="none" w:pos="3922" w:val="left"/>
        </w:tabs>
        <w:rPr>
          <w:sz w:val="20"/>
          <w:szCs w:val="20"/>
          <w:color w:val="auto"/>
        </w:rPr>
      </w:pPr>
      <w:r>
        <w:rPr>
          <w:rFonts w:ascii="Arial" w:cs="Arial" w:eastAsia="Arial" w:hAnsi="Arial"/>
          <w:sz w:val="20"/>
          <w:szCs w:val="20"/>
          <w:color w:val="auto"/>
        </w:rPr>
        <w:t xml:space="preserve">          </w:t>
        <w:tab/>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15875</wp:posOffset>
            </wp:positionV>
            <wp:extent cx="2093595" cy="647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3595" cy="64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17"/>
        <w:spacing w:after="0"/>
        <w:rPr>
          <w:sz w:val="20"/>
          <w:szCs w:val="20"/>
          <w:color w:val="auto"/>
        </w:rPr>
      </w:pPr>
      <w:r>
        <w:rPr>
          <w:rFonts w:ascii="Arial" w:cs="Arial" w:eastAsia="Arial" w:hAnsi="Arial"/>
          <w:sz w:val="26"/>
          <w:szCs w:val="26"/>
          <w:b w:val="1"/>
          <w:bCs w:val="1"/>
          <w:color w:val="auto"/>
        </w:rPr>
        <w:t>Odyssey Therapeutics, Inc.</w:t>
      </w:r>
    </w:p>
    <w:p>
      <w:pPr>
        <w:spacing w:after="0" w:line="178" w:lineRule="exact"/>
        <w:rPr>
          <w:sz w:val="20"/>
          <w:szCs w:val="20"/>
          <w:color w:val="auto"/>
        </w:rPr>
      </w:pPr>
    </w:p>
    <w:p>
      <w:pPr>
        <w:ind w:left="3162"/>
        <w:spacing w:after="0"/>
        <w:rPr>
          <w:sz w:val="20"/>
          <w:szCs w:val="20"/>
          <w:color w:val="auto"/>
        </w:rPr>
      </w:pPr>
      <w:r>
        <w:rPr>
          <w:rFonts w:ascii="Arial" w:cs="Arial" w:eastAsia="Arial" w:hAnsi="Arial"/>
          <w:sz w:val="20"/>
          <w:szCs w:val="20"/>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179705</wp:posOffset>
            </wp:positionV>
            <wp:extent cx="9817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398" w:lineRule="exact"/>
        <w:rPr>
          <w:sz w:val="20"/>
          <w:szCs w:val="20"/>
          <w:color w:val="auto"/>
        </w:rPr>
      </w:pPr>
    </w:p>
    <w:p>
      <w:pPr>
        <w:ind w:left="2" w:right="859" w:firstLine="438"/>
        <w:spacing w:after="0" w:line="282" w:lineRule="auto"/>
        <w:rPr>
          <w:sz w:val="20"/>
          <w:szCs w:val="20"/>
          <w:color w:val="auto"/>
        </w:rPr>
      </w:pPr>
      <w:r>
        <w:rPr>
          <w:rFonts w:ascii="Arial" w:cs="Arial" w:eastAsia="Arial" w:hAnsi="Arial"/>
          <w:sz w:val="14"/>
          <w:szCs w:val="14"/>
          <w:color w:val="auto"/>
        </w:rPr>
        <w:t>This is an initial public offering of shares of common stock of Odyssey Therapeutics, Inc. We are offering        shares of our common stock.</w:t>
      </w:r>
    </w:p>
    <w:p>
      <w:pPr>
        <w:spacing w:after="0" w:line="30" w:lineRule="exact"/>
        <w:rPr>
          <w:sz w:val="20"/>
          <w:szCs w:val="20"/>
          <w:color w:val="auto"/>
        </w:rPr>
      </w:pPr>
    </w:p>
    <w:p>
      <w:pPr>
        <w:ind w:left="2" w:right="679" w:firstLine="443"/>
        <w:spacing w:after="0" w:line="254" w:lineRule="auto"/>
        <w:rPr>
          <w:sz w:val="20"/>
          <w:szCs w:val="20"/>
          <w:color w:val="auto"/>
        </w:rPr>
      </w:pPr>
      <w:r>
        <w:rPr>
          <w:rFonts w:ascii="Arial" w:cs="Arial" w:eastAsia="Arial" w:hAnsi="Arial"/>
          <w:sz w:val="14"/>
          <w:szCs w:val="14"/>
          <w:color w:val="auto"/>
        </w:rPr>
        <w:t>Prior to this offering, there has been no public market for our common stock. It is currently estimated that the initial public offering price per share will be between $        and $        . We have applied to list our common stock on the Nasdaq Capital Market, or Nasdaq, under the trading symbol “ODTX.” We believe that upon the completion of this offering, we will meet the standards for listing on Nasdaq, and the closing of this offering is contingent upon such listing.</w:t>
      </w:r>
    </w:p>
    <w:p>
      <w:pPr>
        <w:spacing w:after="0" w:line="49" w:lineRule="exact"/>
        <w:rPr>
          <w:sz w:val="20"/>
          <w:szCs w:val="20"/>
          <w:color w:val="auto"/>
        </w:rPr>
      </w:pPr>
    </w:p>
    <w:p>
      <w:pPr>
        <w:ind w:left="2" w:right="799" w:firstLine="443"/>
        <w:spacing w:after="0" w:line="261" w:lineRule="auto"/>
        <w:rPr>
          <w:sz w:val="20"/>
          <w:szCs w:val="20"/>
          <w:color w:val="auto"/>
        </w:rPr>
      </w:pPr>
      <w:r>
        <w:rPr>
          <w:rFonts w:ascii="Arial" w:cs="Arial" w:eastAsia="Arial" w:hAnsi="Arial"/>
          <w:sz w:val="14"/>
          <w:szCs w:val="14"/>
          <w:color w:val="auto"/>
        </w:rPr>
        <w:t>We are an “emerging growth company” and a “smaller reporting company,” each as defined under the federal securities laws, and as such, we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146050</wp:posOffset>
            </wp:positionV>
            <wp:extent cx="9817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348" w:lineRule="exact"/>
        <w:rPr>
          <w:sz w:val="20"/>
          <w:szCs w:val="20"/>
          <w:color w:val="auto"/>
        </w:rPr>
      </w:pPr>
    </w:p>
    <w:p>
      <w:pPr>
        <w:ind w:left="2" w:right="1019" w:firstLine="438"/>
        <w:spacing w:after="0" w:line="279" w:lineRule="auto"/>
        <w:rPr>
          <w:sz w:val="20"/>
          <w:szCs w:val="20"/>
          <w:color w:val="auto"/>
        </w:rPr>
      </w:pPr>
      <w:r>
        <w:rPr>
          <w:rFonts w:ascii="Arial" w:cs="Arial" w:eastAsia="Arial" w:hAnsi="Arial"/>
          <w:sz w:val="14"/>
          <w:szCs w:val="14"/>
          <w:i w:val="1"/>
          <w:iCs w:val="1"/>
          <w:color w:val="auto"/>
        </w:rPr>
        <w:t>See the section of this prospectus titled “</w:t>
      </w:r>
      <w:r>
        <w:rPr>
          <w:rFonts w:ascii="Arial" w:cs="Arial" w:eastAsia="Arial" w:hAnsi="Arial"/>
          <w:sz w:val="14"/>
          <w:szCs w:val="14"/>
          <w:i w:val="1"/>
          <w:iCs w:val="1"/>
          <w:u w:val="single" w:color="auto"/>
          <w:color w:val="0000FF"/>
        </w:rPr>
        <w:t>Risk Factors</w:t>
      </w:r>
      <w:r>
        <w:rPr>
          <w:rFonts w:ascii="Arial" w:cs="Arial" w:eastAsia="Arial" w:hAnsi="Arial"/>
          <w:sz w:val="14"/>
          <w:szCs w:val="14"/>
          <w:i w:val="1"/>
          <w:iCs w:val="1"/>
          <w:color w:val="auto"/>
        </w:rPr>
        <w:t>” beginning on page 12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138430</wp:posOffset>
            </wp:positionV>
            <wp:extent cx="9817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345" w:lineRule="exact"/>
        <w:rPr>
          <w:sz w:val="20"/>
          <w:szCs w:val="20"/>
          <w:color w:val="auto"/>
        </w:rPr>
      </w:pPr>
    </w:p>
    <w:p>
      <w:pPr>
        <w:jc w:val="both"/>
        <w:ind w:left="2" w:right="839" w:firstLine="438"/>
        <w:spacing w:after="0" w:line="265" w:lineRule="auto"/>
        <w:rPr>
          <w:sz w:val="20"/>
          <w:szCs w:val="20"/>
          <w:color w:val="auto"/>
        </w:rPr>
      </w:pPr>
      <w:r>
        <w:rPr>
          <w:rFonts w:ascii="Arial" w:cs="Arial" w:eastAsia="Arial" w:hAnsi="Arial"/>
          <w:sz w:val="14"/>
          <w:szCs w:val="14"/>
          <w:b w:val="1"/>
          <w:bCs w:val="1"/>
          <w:color w:val="auto"/>
        </w:rPr>
        <w:t>Neither the Securities and Exchange Commission, or the SEC,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140970</wp:posOffset>
            </wp:positionV>
            <wp:extent cx="9817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366" w:lineRule="exact"/>
        <w:rPr>
          <w:sz w:val="20"/>
          <w:szCs w:val="20"/>
          <w:color w:val="auto"/>
        </w:rPr>
      </w:pPr>
    </w:p>
    <w:tbl>
      <w:tblPr>
        <w:tblLayout w:type="fixed"/>
        <w:tblInd w:w="2" w:type="dxa"/>
        <w:tblCellMar>
          <w:top w:w="0" w:type="dxa"/>
          <w:left w:w="0" w:type="dxa"/>
          <w:bottom w:w="0" w:type="dxa"/>
          <w:right w:w="0" w:type="dxa"/>
        </w:tblCellMar>
      </w:tblPr>
      <w:tr>
        <w:trPr>
          <w:trHeight w:val="137"/>
        </w:trPr>
        <w:tc>
          <w:tcPr>
            <w:tcW w:w="4660" w:type="dxa"/>
            <w:vAlign w:val="bottom"/>
            <w:vMerge w:val="restart"/>
          </w:tcPr>
          <w:p>
            <w:pPr>
              <w:spacing w:after="0"/>
              <w:rPr>
                <w:sz w:val="20"/>
                <w:szCs w:val="20"/>
                <w:color w:val="auto"/>
              </w:rPr>
            </w:pPr>
            <w:r>
              <w:rPr>
                <w:rFonts w:ascii="Arial" w:cs="Arial" w:eastAsia="Arial" w:hAnsi="Arial"/>
                <w:sz w:val="14"/>
                <w:szCs w:val="14"/>
                <w:color w:val="auto"/>
              </w:rPr>
              <w:t>Initial public offering price</w:t>
            </w:r>
          </w:p>
        </w:tc>
        <w:tc>
          <w:tcPr>
            <w:tcW w:w="960" w:type="dxa"/>
            <w:vAlign w:val="bottom"/>
          </w:tcPr>
          <w:p>
            <w:pPr>
              <w:spacing w:after="0"/>
              <w:rPr>
                <w:sz w:val="11"/>
                <w:szCs w:val="11"/>
                <w:color w:val="auto"/>
              </w:rPr>
            </w:pP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Per Share</w:t>
            </w:r>
          </w:p>
        </w:tc>
        <w:tc>
          <w:tcPr>
            <w:tcW w:w="120" w:type="dxa"/>
            <w:vAlign w:val="bottom"/>
          </w:tcPr>
          <w:p>
            <w:pPr>
              <w:spacing w:after="0"/>
              <w:rPr>
                <w:sz w:val="11"/>
                <w:szCs w:val="11"/>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jc w:val="right"/>
              <w:ind w:right="858"/>
              <w:spacing w:after="0" w:line="120"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0"/>
                <w:szCs w:val="10"/>
                <w:color w:val="auto"/>
              </w:rPr>
            </w:pPr>
          </w:p>
        </w:tc>
        <w:tc>
          <w:tcPr>
            <w:tcW w:w="1000" w:type="dxa"/>
            <w:vAlign w:val="bottom"/>
          </w:tcPr>
          <w:p>
            <w:pPr>
              <w:jc w:val="right"/>
              <w:ind w:right="858"/>
              <w:spacing w:after="0" w:line="120" w:lineRule="exact"/>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79"/>
        </w:trPr>
        <w:tc>
          <w:tcPr>
            <w:tcW w:w="4660" w:type="dxa"/>
            <w:vAlign w:val="bottom"/>
          </w:tcPr>
          <w:p>
            <w:pPr>
              <w:spacing w:after="0" w:line="179"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9"/>
                <w:szCs w:val="19"/>
                <w:color w:val="auto"/>
                <w:vertAlign w:val="superscript"/>
              </w:rPr>
              <w:t>(1)</w:t>
            </w:r>
          </w:p>
        </w:tc>
        <w:tc>
          <w:tcPr>
            <w:tcW w:w="1960" w:type="dxa"/>
            <w:vAlign w:val="bottom"/>
            <w:gridSpan w:val="2"/>
          </w:tcPr>
          <w:p>
            <w:pPr>
              <w:jc w:val="right"/>
              <w:ind w:right="85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5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20"/>
                <w:szCs w:val="20"/>
                <w:color w:val="auto"/>
              </w:rPr>
            </w:pPr>
            <w:r>
              <w:rPr>
                <w:rFonts w:ascii="Arial" w:cs="Arial" w:eastAsia="Arial" w:hAnsi="Arial"/>
                <w:sz w:val="14"/>
                <w:szCs w:val="14"/>
                <w:color w:val="auto"/>
              </w:rPr>
              <w:t>Proceeds, before expenses, to Odyssey Therapeutics, Inc.</w:t>
            </w:r>
          </w:p>
        </w:tc>
        <w:tc>
          <w:tcPr>
            <w:tcW w:w="1960" w:type="dxa"/>
            <w:vAlign w:val="bottom"/>
            <w:gridSpan w:val="2"/>
          </w:tcPr>
          <w:p>
            <w:pPr>
              <w:jc w:val="right"/>
              <w:ind w:right="85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5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4572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6985"/>
                    </a:xfrm>
                    <a:prstGeom prst="rect">
                      <a:avLst/>
                    </a:prstGeom>
                    <a:noFill/>
                  </pic:spPr>
                </pic:pic>
              </a:graphicData>
            </a:graphic>
          </wp:anchor>
        </w:drawing>
      </w:r>
    </w:p>
    <w:p>
      <w:pPr>
        <w:spacing w:after="0" w:line="113" w:lineRule="exact"/>
        <w:rPr>
          <w:sz w:val="20"/>
          <w:szCs w:val="20"/>
          <w:color w:val="auto"/>
        </w:rPr>
      </w:pPr>
    </w:p>
    <w:p>
      <w:pPr>
        <w:ind w:left="442" w:right="1299" w:hanging="442"/>
        <w:spacing w:after="0" w:line="282" w:lineRule="auto"/>
        <w:tabs>
          <w:tab w:leader="none" w:pos="322" w:val="left"/>
        </w:tabs>
        <w:numPr>
          <w:ilvl w:val="0"/>
          <w:numId w:val="1"/>
        </w:numPr>
        <w:rPr>
          <w:rFonts w:ascii="Arial" w:cs="Arial" w:eastAsia="Arial" w:hAnsi="Arial"/>
          <w:sz w:val="7"/>
          <w:szCs w:val="7"/>
          <w:color w:val="auto"/>
        </w:rPr>
      </w:pPr>
      <w:r>
        <w:rPr>
          <w:rFonts w:ascii="Arial" w:cs="Arial" w:eastAsia="Arial" w:hAnsi="Arial"/>
          <w:sz w:val="14"/>
          <w:szCs w:val="14"/>
          <w:color w:val="auto"/>
        </w:rPr>
        <w:t>See the section of this prospectus titled “</w:t>
      </w:r>
      <w:r>
        <w:rPr>
          <w:rFonts w:ascii="Arial" w:cs="Arial" w:eastAsia="Arial" w:hAnsi="Arial"/>
          <w:sz w:val="14"/>
          <w:szCs w:val="14"/>
          <w:i w:val="1"/>
          <w:iCs w:val="1"/>
          <w:color w:val="auto"/>
        </w:rPr>
        <w:t>Underwriting</w:t>
      </w:r>
      <w:r>
        <w:rPr>
          <w:rFonts w:ascii="Arial" w:cs="Arial" w:eastAsia="Arial" w:hAnsi="Arial"/>
          <w:sz w:val="14"/>
          <w:szCs w:val="14"/>
          <w:color w:val="auto"/>
        </w:rPr>
        <w:t>” for a description of the compensation payable to the underwriters.</w:t>
      </w:r>
    </w:p>
    <w:p>
      <w:pPr>
        <w:spacing w:after="0" w:line="83" w:lineRule="exact"/>
        <w:rPr>
          <w:sz w:val="20"/>
          <w:szCs w:val="20"/>
          <w:color w:val="auto"/>
        </w:rPr>
      </w:pPr>
    </w:p>
    <w:p>
      <w:pPr>
        <w:ind w:left="2" w:right="739" w:firstLine="438"/>
        <w:spacing w:after="0" w:line="282" w:lineRule="auto"/>
        <w:rPr>
          <w:sz w:val="20"/>
          <w:szCs w:val="20"/>
          <w:color w:val="auto"/>
        </w:rPr>
      </w:pPr>
      <w:r>
        <w:rPr>
          <w:rFonts w:ascii="Arial" w:cs="Arial" w:eastAsia="Arial" w:hAnsi="Arial"/>
          <w:sz w:val="14"/>
          <w:szCs w:val="14"/>
          <w:color w:val="auto"/>
        </w:rPr>
        <w:t>We have granted the underwriters an option for a period of 30 days to purchase up to        additional shares of our common stock from us at the initial public offering price, less underwriting discounts and commissions.</w:t>
      </w:r>
    </w:p>
    <w:p>
      <w:pPr>
        <w:spacing w:after="0" w:line="30" w:lineRule="exact"/>
        <w:rPr>
          <w:sz w:val="20"/>
          <w:szCs w:val="20"/>
          <w:color w:val="auto"/>
        </w:rPr>
      </w:pPr>
    </w:p>
    <w:p>
      <w:pPr>
        <w:ind w:left="442"/>
        <w:spacing w:after="0"/>
        <w:rPr>
          <w:sz w:val="20"/>
          <w:szCs w:val="20"/>
          <w:color w:val="auto"/>
        </w:rPr>
      </w:pPr>
      <w:r>
        <w:rPr>
          <w:rFonts w:ascii="Arial" w:cs="Arial" w:eastAsia="Arial" w:hAnsi="Arial"/>
          <w:sz w:val="14"/>
          <w:szCs w:val="14"/>
          <w:color w:val="auto"/>
        </w:rPr>
        <w:t>The underwriters expect to deliver the shares against payment to purchasers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173355</wp:posOffset>
            </wp:positionV>
            <wp:extent cx="9817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82"/>
        <w:spacing w:after="0"/>
        <w:tabs>
          <w:tab w:leader="none" w:pos="3422" w:val="left"/>
          <w:tab w:leader="none" w:pos="6142" w:val="left"/>
        </w:tabs>
        <w:rPr>
          <w:sz w:val="20"/>
          <w:szCs w:val="20"/>
          <w:color w:val="auto"/>
        </w:rPr>
      </w:pPr>
      <w:r>
        <w:rPr>
          <w:rFonts w:ascii="Arial" w:cs="Arial" w:eastAsia="Arial" w:hAnsi="Arial"/>
          <w:sz w:val="17"/>
          <w:szCs w:val="17"/>
          <w:b w:val="1"/>
          <w:bCs w:val="1"/>
          <w:color w:val="auto"/>
        </w:rPr>
        <w:t>J.P. Morgan</w:t>
      </w:r>
      <w:r>
        <w:rPr>
          <w:sz w:val="20"/>
          <w:szCs w:val="20"/>
          <w:color w:val="auto"/>
        </w:rPr>
        <w:tab/>
      </w:r>
      <w:r>
        <w:rPr>
          <w:rFonts w:ascii="Arial" w:cs="Arial" w:eastAsia="Arial" w:hAnsi="Arial"/>
          <w:sz w:val="17"/>
          <w:szCs w:val="17"/>
          <w:b w:val="1"/>
          <w:bCs w:val="1"/>
          <w:color w:val="auto"/>
        </w:rPr>
        <w:t>TD Cowen</w:t>
      </w:r>
      <w:r>
        <w:rPr>
          <w:sz w:val="20"/>
          <w:szCs w:val="20"/>
          <w:color w:val="auto"/>
        </w:rPr>
        <w:tab/>
      </w:r>
      <w:r>
        <w:rPr>
          <w:rFonts w:ascii="Arial" w:cs="Arial" w:eastAsia="Arial" w:hAnsi="Arial"/>
          <w:sz w:val="17"/>
          <w:szCs w:val="17"/>
          <w:b w:val="1"/>
          <w:bCs w:val="1"/>
          <w:color w:val="auto"/>
        </w:rPr>
        <w:t>Cantor</w:t>
      </w:r>
    </w:p>
    <w:p>
      <w:pPr>
        <w:spacing w:after="0" w:line="167" w:lineRule="exact"/>
        <w:rPr>
          <w:sz w:val="20"/>
          <w:szCs w:val="20"/>
          <w:color w:val="auto"/>
        </w:rPr>
      </w:pPr>
    </w:p>
    <w:p>
      <w:pPr>
        <w:ind w:left="1262"/>
        <w:spacing w:after="0"/>
        <w:tabs>
          <w:tab w:leader="none" w:pos="5142" w:val="left"/>
        </w:tabs>
        <w:rPr>
          <w:sz w:val="20"/>
          <w:szCs w:val="20"/>
          <w:color w:val="auto"/>
        </w:rPr>
      </w:pPr>
      <w:r>
        <w:rPr>
          <w:rFonts w:ascii="Arial" w:cs="Arial" w:eastAsia="Arial" w:hAnsi="Arial"/>
          <w:sz w:val="14"/>
          <w:szCs w:val="14"/>
          <w:b w:val="1"/>
          <w:bCs w:val="1"/>
          <w:color w:val="auto"/>
        </w:rPr>
        <w:t>Wedbush PacGrow</w:t>
      </w:r>
      <w:r>
        <w:rPr>
          <w:sz w:val="20"/>
          <w:szCs w:val="20"/>
          <w:color w:val="auto"/>
        </w:rPr>
        <w:tab/>
      </w:r>
      <w:r>
        <w:rPr>
          <w:rFonts w:ascii="Arial" w:cs="Arial" w:eastAsia="Arial" w:hAnsi="Arial"/>
          <w:sz w:val="14"/>
          <w:szCs w:val="14"/>
          <w:b w:val="1"/>
          <w:bCs w:val="1"/>
          <w:color w:val="auto"/>
        </w:rPr>
        <w:t>Oppenheimer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610235</wp:posOffset>
            </wp:positionV>
            <wp:extent cx="56038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2">
            <w:col w:w="480" w:space="158"/>
            <w:col w:w="8381"/>
          </w:cols>
          <w:pgMar w:left="1440" w:top="123" w:right="1440" w:bottom="1440" w:gutter="0" w:footer="0" w:header="0"/>
          <w:type w:val="continuous"/>
        </w:sectPr>
      </w:pPr>
    </w:p>
    <w:bookmarkStart w:id="2" w:name="page3"/>
    <w:bookmarkEnd w:id="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Prospectus 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487680</wp:posOffset>
            </wp:positionV>
            <wp:extent cx="56038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1"/>
        </w:trPr>
        <w:tc>
          <w:tcPr>
            <w:tcW w:w="71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60" w:type="dxa"/>
            <w:vAlign w:val="bottom"/>
            <w:gridSpan w:val="5"/>
          </w:tcPr>
          <w:p>
            <w:pPr>
              <w:ind w:left="340"/>
              <w:spacing w:after="0"/>
              <w:rPr>
                <w:sz w:val="20"/>
                <w:szCs w:val="20"/>
                <w:color w:val="auto"/>
              </w:rPr>
            </w:pPr>
            <w:r>
              <w:rPr>
                <w:rFonts w:ascii="Arial" w:cs="Arial" w:eastAsia="Arial" w:hAnsi="Arial"/>
                <w:sz w:val="14"/>
                <w:szCs w:val="14"/>
                <w:b w:val="1"/>
                <w:bCs w:val="1"/>
                <w:color w:val="auto"/>
              </w:rPr>
              <w:t>TABLE OF CONTENTS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120" w:type="dxa"/>
            <w:vAlign w:val="bottom"/>
            <w:gridSpan w:val="24"/>
            <w:vMerge w:val="restart"/>
          </w:tcPr>
          <w:p>
            <w:pPr>
              <w:spacing w:after="0"/>
              <w:rPr>
                <w:sz w:val="20"/>
                <w:szCs w:val="20"/>
                <w:color w:val="auto"/>
              </w:rPr>
            </w:pPr>
            <w:r>
              <w:rPr>
                <w:rFonts w:ascii="Arial" w:cs="Arial" w:eastAsia="Arial" w:hAnsi="Arial"/>
                <w:sz w:val="14"/>
                <w:szCs w:val="14"/>
                <w:color w:val="0000FF"/>
              </w:rPr>
              <w:t>Prospectus Summary</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30"/>
        </w:trPr>
        <w:tc>
          <w:tcPr>
            <w:tcW w:w="7120" w:type="dxa"/>
            <w:vAlign w:val="bottom"/>
            <w:gridSpan w:val="24"/>
            <w:vMerge w:val="continue"/>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40" w:type="dxa"/>
            <w:vAlign w:val="bottom"/>
            <w:tcBorders>
              <w:top w:val="single" w:sz="8" w:color="0000FF"/>
            </w:tcBorders>
            <w:gridSpan w:val="11"/>
          </w:tcPr>
          <w:p>
            <w:pPr>
              <w:spacing w:after="0" w:line="141" w:lineRule="exact"/>
              <w:rPr>
                <w:sz w:val="20"/>
                <w:szCs w:val="20"/>
                <w:color w:val="auto"/>
              </w:rPr>
            </w:pPr>
            <w:r>
              <w:rPr>
                <w:rFonts w:ascii="Arial" w:cs="Arial" w:eastAsia="Arial" w:hAnsi="Arial"/>
                <w:sz w:val="14"/>
                <w:szCs w:val="14"/>
                <w:color w:val="0000FF"/>
              </w:rPr>
              <w:t>Risk Factors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1"/>
        </w:trPr>
        <w:tc>
          <w:tcPr>
            <w:tcW w:w="800" w:type="dxa"/>
            <w:vAlign w:val="bottom"/>
            <w:tcBorders>
              <w:top w:val="single" w:sz="8" w:color="0000FF"/>
            </w:tcBorders>
            <w:gridSpan w:val="4"/>
          </w:tcPr>
          <w:p>
            <w:pPr>
              <w:spacing w:after="0" w:line="141" w:lineRule="exact"/>
              <w:rPr>
                <w:sz w:val="20"/>
                <w:szCs w:val="20"/>
                <w:color w:val="auto"/>
              </w:rPr>
            </w:pPr>
            <w:r>
              <w:rPr>
                <w:rFonts w:ascii="Arial" w:cs="Arial" w:eastAsia="Arial" w:hAnsi="Arial"/>
                <w:sz w:val="14"/>
                <w:szCs w:val="14"/>
                <w:color w:val="0000FF"/>
                <w:w w:val="98"/>
              </w:rPr>
              <w:t>Special Note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80" w:type="dxa"/>
            <w:vAlign w:val="bottom"/>
            <w:gridSpan w:val="18"/>
          </w:tcPr>
          <w:p>
            <w:pPr>
              <w:spacing w:after="0" w:line="141" w:lineRule="exact"/>
              <w:rPr>
                <w:sz w:val="20"/>
                <w:szCs w:val="20"/>
                <w:color w:val="auto"/>
              </w:rPr>
            </w:pPr>
            <w:r>
              <w:rPr>
                <w:rFonts w:ascii="Arial" w:cs="Arial" w:eastAsia="Arial" w:hAnsi="Arial"/>
                <w:sz w:val="14"/>
                <w:szCs w:val="14"/>
                <w:color w:val="0000FF"/>
              </w:rPr>
              <w:t>Regarding Forward-Looking Statements</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1"/>
        </w:trPr>
        <w:tc>
          <w:tcPr>
            <w:tcW w:w="3380" w:type="dxa"/>
            <w:vAlign w:val="bottom"/>
            <w:tcBorders>
              <w:top w:val="single" w:sz="8" w:color="0000FF"/>
            </w:tcBorders>
            <w:gridSpan w:val="20"/>
          </w:tcPr>
          <w:p>
            <w:pPr>
              <w:spacing w:after="0" w:line="141" w:lineRule="exact"/>
              <w:rPr>
                <w:sz w:val="20"/>
                <w:szCs w:val="20"/>
                <w:color w:val="auto"/>
              </w:rPr>
            </w:pPr>
            <w:r>
              <w:rPr>
                <w:rFonts w:ascii="Arial" w:cs="Arial" w:eastAsia="Arial" w:hAnsi="Arial"/>
                <w:sz w:val="14"/>
                <w:szCs w:val="14"/>
                <w:color w:val="0000FF"/>
              </w:rPr>
              <w:t>Market, Industry and Other Data</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1"/>
        </w:trPr>
        <w:tc>
          <w:tcPr>
            <w:tcW w:w="2040" w:type="dxa"/>
            <w:vAlign w:val="bottom"/>
            <w:tcBorders>
              <w:top w:val="single" w:sz="8" w:color="0000FF"/>
            </w:tcBorders>
            <w:gridSpan w:val="18"/>
          </w:tcPr>
          <w:p>
            <w:pPr>
              <w:spacing w:after="0" w:line="141" w:lineRule="exact"/>
              <w:rPr>
                <w:sz w:val="20"/>
                <w:szCs w:val="20"/>
                <w:color w:val="auto"/>
              </w:rPr>
            </w:pPr>
            <w:r>
              <w:rPr>
                <w:rFonts w:ascii="Arial" w:cs="Arial" w:eastAsia="Arial" w:hAnsi="Arial"/>
                <w:sz w:val="14"/>
                <w:szCs w:val="14"/>
                <w:color w:val="0000FF"/>
              </w:rPr>
              <w:t>Use of Proceeds</w:t>
            </w:r>
          </w:p>
        </w:tc>
        <w:tc>
          <w:tcPr>
            <w:tcW w:w="7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1"/>
        </w:trPr>
        <w:tc>
          <w:tcPr>
            <w:tcW w:w="1060" w:type="dxa"/>
            <w:vAlign w:val="bottom"/>
            <w:tcBorders>
              <w:top w:val="single" w:sz="8" w:color="0000FF"/>
            </w:tcBorders>
            <w:gridSpan w:val="10"/>
          </w:tcPr>
          <w:p>
            <w:pPr>
              <w:spacing w:after="0" w:line="141" w:lineRule="exact"/>
              <w:rPr>
                <w:sz w:val="20"/>
                <w:szCs w:val="20"/>
                <w:color w:val="auto"/>
              </w:rPr>
            </w:pPr>
            <w:r>
              <w:rPr>
                <w:rFonts w:ascii="Arial" w:cs="Arial" w:eastAsia="Arial" w:hAnsi="Arial"/>
                <w:sz w:val="14"/>
                <w:szCs w:val="14"/>
                <w:color w:val="0000FF"/>
              </w:rPr>
              <w:t>Dividend Policy</w:t>
            </w:r>
          </w:p>
        </w:tc>
        <w:tc>
          <w:tcPr>
            <w:tcW w:w="3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7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1"/>
        </w:trPr>
        <w:tc>
          <w:tcPr>
            <w:tcW w:w="980" w:type="dxa"/>
            <w:vAlign w:val="bottom"/>
            <w:tcBorders>
              <w:top w:val="single" w:sz="8" w:color="0000FF"/>
            </w:tcBorders>
            <w:gridSpan w:val="9"/>
          </w:tcPr>
          <w:p>
            <w:pPr>
              <w:spacing w:after="0" w:line="141" w:lineRule="exact"/>
              <w:rPr>
                <w:sz w:val="20"/>
                <w:szCs w:val="20"/>
                <w:color w:val="auto"/>
              </w:rPr>
            </w:pPr>
            <w:r>
              <w:rPr>
                <w:rFonts w:ascii="Arial" w:cs="Arial" w:eastAsia="Arial" w:hAnsi="Arial"/>
                <w:sz w:val="14"/>
                <w:szCs w:val="14"/>
                <w:color w:val="0000FF"/>
              </w:rPr>
              <w:t>Capitalization</w:t>
            </w:r>
          </w:p>
        </w:tc>
        <w:tc>
          <w:tcPr>
            <w:tcW w:w="440" w:type="dxa"/>
            <w:vAlign w:val="bottom"/>
            <w:gridSpan w:val="4"/>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7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1"/>
        </w:trPr>
        <w:tc>
          <w:tcPr>
            <w:tcW w:w="480" w:type="dxa"/>
            <w:vAlign w:val="bottom"/>
            <w:tcBorders>
              <w:top w:val="single" w:sz="8" w:color="0000FF"/>
              <w:bottom w:val="single" w:sz="8" w:color="0000FF"/>
            </w:tcBorders>
            <w:gridSpan w:val="2"/>
          </w:tcPr>
          <w:p>
            <w:pPr>
              <w:spacing w:after="0" w:line="141" w:lineRule="exact"/>
              <w:rPr>
                <w:sz w:val="20"/>
                <w:szCs w:val="20"/>
                <w:color w:val="auto"/>
              </w:rPr>
            </w:pPr>
            <w:r>
              <w:rPr>
                <w:rFonts w:ascii="Arial" w:cs="Arial" w:eastAsia="Arial" w:hAnsi="Arial"/>
                <w:sz w:val="14"/>
                <w:szCs w:val="14"/>
                <w:color w:val="0000FF"/>
                <w:w w:val="98"/>
              </w:rPr>
              <w:t>Dilution</w:t>
            </w:r>
          </w:p>
        </w:tc>
        <w:tc>
          <w:tcPr>
            <w:tcW w:w="3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5"/>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7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1"/>
        </w:trPr>
        <w:tc>
          <w:tcPr>
            <w:tcW w:w="7120" w:type="dxa"/>
            <w:vAlign w:val="bottom"/>
            <w:gridSpan w:val="24"/>
          </w:tcPr>
          <w:p>
            <w:pPr>
              <w:spacing w:after="0" w:line="141"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1"/>
        </w:trPr>
        <w:tc>
          <w:tcPr>
            <w:tcW w:w="580" w:type="dxa"/>
            <w:vAlign w:val="bottom"/>
            <w:tcBorders>
              <w:top w:val="single" w:sz="8" w:color="0000FF"/>
              <w:bottom w:val="single" w:sz="8" w:color="0000FF"/>
            </w:tcBorders>
            <w:gridSpan w:val="3"/>
          </w:tcPr>
          <w:p>
            <w:pPr>
              <w:spacing w:after="0" w:line="141" w:lineRule="exact"/>
              <w:rPr>
                <w:sz w:val="20"/>
                <w:szCs w:val="20"/>
                <w:color w:val="auto"/>
              </w:rPr>
            </w:pPr>
            <w:r>
              <w:rPr>
                <w:rFonts w:ascii="Arial" w:cs="Arial" w:eastAsia="Arial" w:hAnsi="Arial"/>
                <w:sz w:val="14"/>
                <w:szCs w:val="14"/>
                <w:color w:val="0000FF"/>
                <w:w w:val="98"/>
              </w:rPr>
              <w:t>Business</w:t>
            </w:r>
          </w:p>
        </w:tc>
        <w:tc>
          <w:tcPr>
            <w:tcW w:w="5100" w:type="dxa"/>
            <w:vAlign w:val="bottom"/>
            <w:tcBorders>
              <w:top w:val="single" w:sz="8" w:color="0000FF"/>
            </w:tcBorders>
            <w:gridSpan w:val="20"/>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1"/>
        </w:trPr>
        <w:tc>
          <w:tcPr>
            <w:tcW w:w="7120" w:type="dxa"/>
            <w:vAlign w:val="bottom"/>
            <w:gridSpan w:val="24"/>
          </w:tcPr>
          <w:p>
            <w:pPr>
              <w:spacing w:after="0" w:line="141" w:lineRule="exact"/>
              <w:rPr>
                <w:sz w:val="20"/>
                <w:szCs w:val="20"/>
                <w:color w:val="auto"/>
              </w:rPr>
            </w:pPr>
            <w:r>
              <w:rPr>
                <w:rFonts w:ascii="Arial" w:cs="Arial" w:eastAsia="Arial" w:hAnsi="Arial"/>
                <w:sz w:val="14"/>
                <w:szCs w:val="14"/>
                <w:color w:val="0000FF"/>
              </w:rPr>
              <w:t>Management</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1"/>
        </w:trPr>
        <w:tc>
          <w:tcPr>
            <w:tcW w:w="840" w:type="dxa"/>
            <w:vAlign w:val="bottom"/>
            <w:tcBorders>
              <w:top w:val="single" w:sz="8" w:color="0000FF"/>
            </w:tcBorders>
            <w:gridSpan w:val="6"/>
          </w:tcPr>
          <w:p>
            <w:pPr>
              <w:spacing w:after="0" w:line="141" w:lineRule="exact"/>
              <w:rPr>
                <w:sz w:val="20"/>
                <w:szCs w:val="20"/>
                <w:color w:val="auto"/>
              </w:rPr>
            </w:pPr>
            <w:r>
              <w:rPr>
                <w:rFonts w:ascii="Arial" w:cs="Arial" w:eastAsia="Arial" w:hAnsi="Arial"/>
                <w:sz w:val="14"/>
                <w:szCs w:val="14"/>
                <w:color w:val="0000FF"/>
              </w:rPr>
              <w:t>Executive</w:t>
            </w:r>
          </w:p>
        </w:tc>
        <w:tc>
          <w:tcPr>
            <w:tcW w:w="6280" w:type="dxa"/>
            <w:vAlign w:val="bottom"/>
            <w:gridSpan w:val="18"/>
          </w:tcPr>
          <w:p>
            <w:pPr>
              <w:spacing w:after="0" w:line="141" w:lineRule="exact"/>
              <w:rPr>
                <w:sz w:val="20"/>
                <w:szCs w:val="20"/>
                <w:color w:val="auto"/>
              </w:rPr>
            </w:pPr>
            <w:r>
              <w:rPr>
                <w:rFonts w:ascii="Arial" w:cs="Arial" w:eastAsia="Arial" w:hAnsi="Arial"/>
                <w:sz w:val="14"/>
                <w:szCs w:val="14"/>
                <w:color w:val="0000FF"/>
              </w:rPr>
              <w:t>Compensation</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1"/>
        </w:trPr>
        <w:tc>
          <w:tcPr>
            <w:tcW w:w="1580" w:type="dxa"/>
            <w:vAlign w:val="bottom"/>
            <w:tcBorders>
              <w:top w:val="single" w:sz="8" w:color="0000FF"/>
            </w:tcBorders>
            <w:gridSpan w:val="14"/>
          </w:tcPr>
          <w:p>
            <w:pPr>
              <w:spacing w:after="0" w:line="141" w:lineRule="exact"/>
              <w:rPr>
                <w:sz w:val="20"/>
                <w:szCs w:val="20"/>
                <w:color w:val="auto"/>
              </w:rPr>
            </w:pPr>
            <w:r>
              <w:rPr>
                <w:rFonts w:ascii="Arial" w:cs="Arial" w:eastAsia="Arial" w:hAnsi="Arial"/>
                <w:sz w:val="14"/>
                <w:szCs w:val="14"/>
                <w:color w:val="0000FF"/>
                <w:w w:val="97"/>
              </w:rPr>
              <w:t>Certain Relationships and</w:t>
            </w:r>
          </w:p>
        </w:tc>
        <w:tc>
          <w:tcPr>
            <w:tcW w:w="5540" w:type="dxa"/>
            <w:vAlign w:val="bottom"/>
            <w:gridSpan w:val="10"/>
          </w:tcPr>
          <w:p>
            <w:pPr>
              <w:ind w:left="100"/>
              <w:spacing w:after="0" w:line="141" w:lineRule="exact"/>
              <w:rPr>
                <w:sz w:val="20"/>
                <w:szCs w:val="20"/>
                <w:color w:val="auto"/>
              </w:rPr>
            </w:pPr>
            <w:r>
              <w:rPr>
                <w:rFonts w:ascii="Arial" w:cs="Arial" w:eastAsia="Arial" w:hAnsi="Arial"/>
                <w:sz w:val="14"/>
                <w:szCs w:val="14"/>
                <w:color w:val="0000FF"/>
              </w:rPr>
              <w:t>Related Person Transactions</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1"/>
        </w:trPr>
        <w:tc>
          <w:tcPr>
            <w:tcW w:w="3520" w:type="dxa"/>
            <w:vAlign w:val="bottom"/>
            <w:tcBorders>
              <w:top w:val="single" w:sz="8" w:color="0000FF"/>
            </w:tcBorders>
            <w:gridSpan w:val="21"/>
          </w:tcPr>
          <w:p>
            <w:pPr>
              <w:spacing w:after="0" w:line="141" w:lineRule="exact"/>
              <w:rPr>
                <w:sz w:val="20"/>
                <w:szCs w:val="20"/>
                <w:color w:val="auto"/>
              </w:rPr>
            </w:pPr>
            <w:r>
              <w:rPr>
                <w:rFonts w:ascii="Arial" w:cs="Arial" w:eastAsia="Arial" w:hAnsi="Arial"/>
                <w:sz w:val="14"/>
                <w:szCs w:val="14"/>
                <w:color w:val="0000FF"/>
              </w:rPr>
              <w:t>Principal Stockholders</w:t>
            </w:r>
          </w:p>
        </w:tc>
        <w:tc>
          <w:tcPr>
            <w:tcW w:w="940" w:type="dxa"/>
            <w:vAlign w:val="bottom"/>
          </w:tcPr>
          <w:p>
            <w:pPr>
              <w:spacing w:after="0"/>
              <w:rPr>
                <w:sz w:val="12"/>
                <w:szCs w:val="12"/>
                <w:color w:val="auto"/>
              </w:rPr>
            </w:pPr>
          </w:p>
        </w:tc>
        <w:tc>
          <w:tcPr>
            <w:tcW w:w="2660" w:type="dxa"/>
            <w:vAlign w:val="bottom"/>
            <w:gridSpan w:val="2"/>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1"/>
        </w:trPr>
        <w:tc>
          <w:tcPr>
            <w:tcW w:w="1420" w:type="dxa"/>
            <w:vAlign w:val="bottom"/>
            <w:tcBorders>
              <w:top w:val="single" w:sz="8" w:color="0000FF"/>
              <w:bottom w:val="single" w:sz="8" w:color="0000FF"/>
            </w:tcBorders>
            <w:gridSpan w:val="13"/>
          </w:tcPr>
          <w:p>
            <w:pPr>
              <w:spacing w:after="0" w:line="141" w:lineRule="exact"/>
              <w:rPr>
                <w:sz w:val="20"/>
                <w:szCs w:val="20"/>
                <w:color w:val="auto"/>
              </w:rPr>
            </w:pPr>
            <w:r>
              <w:rPr>
                <w:rFonts w:ascii="Arial" w:cs="Arial" w:eastAsia="Arial" w:hAnsi="Arial"/>
                <w:sz w:val="14"/>
                <w:szCs w:val="14"/>
                <w:color w:val="0000FF"/>
              </w:rPr>
              <w:t>Description of Capital</w:t>
            </w:r>
          </w:p>
        </w:tc>
        <w:tc>
          <w:tcPr>
            <w:tcW w:w="340" w:type="dxa"/>
            <w:vAlign w:val="bottom"/>
            <w:tcBorders>
              <w:bottom w:val="single" w:sz="8" w:color="0000FF"/>
            </w:tcBorders>
            <w:gridSpan w:val="2"/>
          </w:tcPr>
          <w:p>
            <w:pPr>
              <w:spacing w:after="0" w:line="141" w:lineRule="exact"/>
              <w:rPr>
                <w:sz w:val="20"/>
                <w:szCs w:val="20"/>
                <w:color w:val="auto"/>
              </w:rPr>
            </w:pPr>
            <w:r>
              <w:rPr>
                <w:rFonts w:ascii="Arial" w:cs="Arial" w:eastAsia="Arial" w:hAnsi="Arial"/>
                <w:sz w:val="14"/>
                <w:szCs w:val="14"/>
                <w:color w:val="0000FF"/>
                <w:w w:val="91"/>
              </w:rPr>
              <w:t>Stock</w:t>
            </w:r>
          </w:p>
        </w:tc>
        <w:tc>
          <w:tcPr>
            <w:tcW w:w="5360" w:type="dxa"/>
            <w:vAlign w:val="bottom"/>
            <w:gridSpan w:val="9"/>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1"/>
        </w:trPr>
        <w:tc>
          <w:tcPr>
            <w:tcW w:w="7120" w:type="dxa"/>
            <w:vAlign w:val="bottom"/>
            <w:gridSpan w:val="24"/>
          </w:tcPr>
          <w:p>
            <w:pPr>
              <w:spacing w:after="0" w:line="141" w:lineRule="exact"/>
              <w:rPr>
                <w:sz w:val="20"/>
                <w:szCs w:val="20"/>
                <w:color w:val="auto"/>
              </w:rPr>
            </w:pPr>
            <w:r>
              <w:rPr>
                <w:rFonts w:ascii="Arial" w:cs="Arial" w:eastAsia="Arial" w:hAnsi="Arial"/>
                <w:sz w:val="14"/>
                <w:szCs w:val="14"/>
                <w:color w:val="0000FF"/>
              </w:rPr>
              <w:t>Shares Eligible for Future Sale</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1"/>
        </w:trPr>
        <w:tc>
          <w:tcPr>
            <w:tcW w:w="1940" w:type="dxa"/>
            <w:vAlign w:val="bottom"/>
            <w:tcBorders>
              <w:top w:val="single" w:sz="8" w:color="0000FF"/>
            </w:tcBorders>
            <w:gridSpan w:val="17"/>
          </w:tcPr>
          <w:p>
            <w:pPr>
              <w:spacing w:after="0" w:line="141" w:lineRule="exact"/>
              <w:rPr>
                <w:sz w:val="20"/>
                <w:szCs w:val="20"/>
                <w:color w:val="auto"/>
              </w:rPr>
            </w:pPr>
            <w:r>
              <w:rPr>
                <w:rFonts w:ascii="Arial" w:cs="Arial" w:eastAsia="Arial" w:hAnsi="Arial"/>
                <w:sz w:val="14"/>
                <w:szCs w:val="14"/>
                <w:color w:val="0000FF"/>
              </w:rPr>
              <w:t>Material U.S. Federal Income</w:t>
            </w:r>
          </w:p>
        </w:tc>
        <w:tc>
          <w:tcPr>
            <w:tcW w:w="5180" w:type="dxa"/>
            <w:vAlign w:val="bottom"/>
            <w:gridSpan w:val="7"/>
          </w:tcPr>
          <w:p>
            <w:pPr>
              <w:spacing w:after="0" w:line="141" w:lineRule="exact"/>
              <w:rPr>
                <w:sz w:val="20"/>
                <w:szCs w:val="20"/>
                <w:color w:val="auto"/>
              </w:rPr>
            </w:pPr>
            <w:r>
              <w:rPr>
                <w:rFonts w:ascii="Arial" w:cs="Arial" w:eastAsia="Arial" w:hAnsi="Arial"/>
                <w:sz w:val="14"/>
                <w:szCs w:val="14"/>
                <w:color w:val="0000FF"/>
              </w:rPr>
              <w:t>Tax Consequences to Non-U.S. Holders</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1"/>
        </w:trPr>
        <w:tc>
          <w:tcPr>
            <w:tcW w:w="4460" w:type="dxa"/>
            <w:vAlign w:val="bottom"/>
            <w:tcBorders>
              <w:top w:val="single" w:sz="8" w:color="0000FF"/>
            </w:tcBorders>
            <w:gridSpan w:val="22"/>
          </w:tcPr>
          <w:p>
            <w:pPr>
              <w:spacing w:after="0" w:line="141" w:lineRule="exact"/>
              <w:rPr>
                <w:sz w:val="20"/>
                <w:szCs w:val="20"/>
                <w:color w:val="auto"/>
              </w:rPr>
            </w:pPr>
            <w:r>
              <w:rPr>
                <w:rFonts w:ascii="Arial" w:cs="Arial" w:eastAsia="Arial" w:hAnsi="Arial"/>
                <w:sz w:val="14"/>
                <w:szCs w:val="14"/>
                <w:color w:val="0000FF"/>
              </w:rPr>
              <w:t>Underwriting</w:t>
            </w:r>
          </w:p>
        </w:tc>
        <w:tc>
          <w:tcPr>
            <w:tcW w:w="2660" w:type="dxa"/>
            <w:vAlign w:val="bottom"/>
            <w:gridSpan w:val="2"/>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1"/>
        </w:trPr>
        <w:tc>
          <w:tcPr>
            <w:tcW w:w="820" w:type="dxa"/>
            <w:vAlign w:val="bottom"/>
            <w:tcBorders>
              <w:top w:val="single" w:sz="8" w:color="0000FF"/>
              <w:bottom w:val="single" w:sz="8" w:color="0000FF"/>
            </w:tcBorders>
            <w:gridSpan w:val="5"/>
          </w:tcPr>
          <w:p>
            <w:pPr>
              <w:spacing w:after="0" w:line="141" w:lineRule="exact"/>
              <w:rPr>
                <w:sz w:val="20"/>
                <w:szCs w:val="20"/>
                <w:color w:val="auto"/>
              </w:rPr>
            </w:pPr>
            <w:r>
              <w:rPr>
                <w:rFonts w:ascii="Arial" w:cs="Arial" w:eastAsia="Arial" w:hAnsi="Arial"/>
                <w:sz w:val="14"/>
                <w:szCs w:val="14"/>
                <w:color w:val="0000FF"/>
                <w:w w:val="94"/>
              </w:rPr>
              <w:t>Legal Matters</w:t>
            </w:r>
          </w:p>
        </w:tc>
        <w:tc>
          <w:tcPr>
            <w:tcW w:w="60" w:type="dxa"/>
            <w:vAlign w:val="bottom"/>
            <w:tcBorders>
              <w:bottom w:val="single" w:sz="8" w:color="0000FF"/>
            </w:tcBorders>
            <w:gridSpan w:val="3"/>
          </w:tcPr>
          <w:p>
            <w:pPr>
              <w:spacing w:after="0"/>
              <w:rPr>
                <w:sz w:val="12"/>
                <w:szCs w:val="12"/>
                <w:color w:val="auto"/>
              </w:rPr>
            </w:pPr>
          </w:p>
        </w:tc>
        <w:tc>
          <w:tcPr>
            <w:tcW w:w="1000" w:type="dxa"/>
            <w:vAlign w:val="bottom"/>
            <w:gridSpan w:val="8"/>
          </w:tcPr>
          <w:p>
            <w:pPr>
              <w:spacing w:after="0"/>
              <w:rPr>
                <w:sz w:val="12"/>
                <w:szCs w:val="12"/>
                <w:color w:val="auto"/>
              </w:rPr>
            </w:pPr>
          </w:p>
        </w:tc>
        <w:tc>
          <w:tcPr>
            <w:tcW w:w="880" w:type="dxa"/>
            <w:vAlign w:val="bottom"/>
            <w:gridSpan w:val="3"/>
          </w:tcPr>
          <w:p>
            <w:pPr>
              <w:spacing w:after="0"/>
              <w:rPr>
                <w:sz w:val="12"/>
                <w:szCs w:val="12"/>
                <w:color w:val="auto"/>
              </w:rPr>
            </w:pPr>
          </w:p>
        </w:tc>
        <w:tc>
          <w:tcPr>
            <w:tcW w:w="4360" w:type="dxa"/>
            <w:vAlign w:val="bottom"/>
            <w:gridSpan w:val="5"/>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1"/>
        </w:trPr>
        <w:tc>
          <w:tcPr>
            <w:tcW w:w="880" w:type="dxa"/>
            <w:vAlign w:val="bottom"/>
            <w:gridSpan w:val="8"/>
          </w:tcPr>
          <w:p>
            <w:pPr>
              <w:spacing w:after="0" w:line="141" w:lineRule="exact"/>
              <w:rPr>
                <w:sz w:val="20"/>
                <w:szCs w:val="20"/>
                <w:color w:val="auto"/>
              </w:rPr>
            </w:pPr>
            <w:r>
              <w:rPr>
                <w:rFonts w:ascii="Arial" w:cs="Arial" w:eastAsia="Arial" w:hAnsi="Arial"/>
                <w:sz w:val="14"/>
                <w:szCs w:val="14"/>
                <w:color w:val="0000FF"/>
              </w:rPr>
              <w:t>Experts</w:t>
            </w:r>
          </w:p>
        </w:tc>
        <w:tc>
          <w:tcPr>
            <w:tcW w:w="1000" w:type="dxa"/>
            <w:vAlign w:val="bottom"/>
            <w:gridSpan w:val="8"/>
          </w:tcPr>
          <w:p>
            <w:pPr>
              <w:spacing w:after="0"/>
              <w:rPr>
                <w:sz w:val="12"/>
                <w:szCs w:val="12"/>
                <w:color w:val="auto"/>
              </w:rPr>
            </w:pPr>
          </w:p>
        </w:tc>
        <w:tc>
          <w:tcPr>
            <w:tcW w:w="880" w:type="dxa"/>
            <w:vAlign w:val="bottom"/>
            <w:gridSpan w:val="3"/>
          </w:tcPr>
          <w:p>
            <w:pPr>
              <w:spacing w:after="0"/>
              <w:rPr>
                <w:sz w:val="12"/>
                <w:szCs w:val="12"/>
                <w:color w:val="auto"/>
              </w:rPr>
            </w:pPr>
          </w:p>
        </w:tc>
        <w:tc>
          <w:tcPr>
            <w:tcW w:w="4360" w:type="dxa"/>
            <w:vAlign w:val="bottom"/>
            <w:gridSpan w:val="5"/>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1"/>
        </w:trPr>
        <w:tc>
          <w:tcPr>
            <w:tcW w:w="480" w:type="dxa"/>
            <w:vAlign w:val="bottom"/>
            <w:tcBorders>
              <w:top w:val="single" w:sz="8" w:color="0000FF"/>
            </w:tcBorders>
            <w:gridSpan w:val="2"/>
          </w:tcPr>
          <w:p>
            <w:pPr>
              <w:spacing w:after="0" w:line="141" w:lineRule="exact"/>
              <w:rPr>
                <w:sz w:val="20"/>
                <w:szCs w:val="20"/>
                <w:color w:val="auto"/>
              </w:rPr>
            </w:pPr>
            <w:r>
              <w:rPr>
                <w:rFonts w:ascii="Arial" w:cs="Arial" w:eastAsia="Arial" w:hAnsi="Arial"/>
                <w:sz w:val="14"/>
                <w:szCs w:val="14"/>
                <w:color w:val="0000FF"/>
              </w:rPr>
              <w:t>Where</w:t>
            </w:r>
          </w:p>
        </w:tc>
        <w:tc>
          <w:tcPr>
            <w:tcW w:w="6640" w:type="dxa"/>
            <w:vAlign w:val="bottom"/>
            <w:gridSpan w:val="22"/>
          </w:tcPr>
          <w:p>
            <w:pPr>
              <w:spacing w:after="0" w:line="141" w:lineRule="exact"/>
              <w:rPr>
                <w:sz w:val="20"/>
                <w:szCs w:val="20"/>
                <w:color w:val="auto"/>
              </w:rPr>
            </w:pPr>
            <w:r>
              <w:rPr>
                <w:rFonts w:ascii="Arial" w:cs="Arial" w:eastAsia="Arial" w:hAnsi="Arial"/>
                <w:sz w:val="14"/>
                <w:szCs w:val="14"/>
                <w:color w:val="0000FF"/>
              </w:rPr>
              <w:t>You Can Find Additional Information</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1"/>
        </w:trPr>
        <w:tc>
          <w:tcPr>
            <w:tcW w:w="2760" w:type="dxa"/>
            <w:vAlign w:val="bottom"/>
            <w:tcBorders>
              <w:top w:val="single" w:sz="8" w:color="0000FF"/>
            </w:tcBorders>
            <w:gridSpan w:val="19"/>
          </w:tcPr>
          <w:p>
            <w:pPr>
              <w:spacing w:after="0" w:line="141" w:lineRule="exact"/>
              <w:rPr>
                <w:sz w:val="20"/>
                <w:szCs w:val="20"/>
                <w:color w:val="auto"/>
              </w:rPr>
            </w:pPr>
            <w:r>
              <w:rPr>
                <w:rFonts w:ascii="Arial" w:cs="Arial" w:eastAsia="Arial" w:hAnsi="Arial"/>
                <w:sz w:val="14"/>
                <w:szCs w:val="14"/>
                <w:color w:val="0000FF"/>
              </w:rPr>
              <w:t>Index to Financial Statements</w:t>
            </w:r>
          </w:p>
        </w:tc>
        <w:tc>
          <w:tcPr>
            <w:tcW w:w="4360" w:type="dxa"/>
            <w:vAlign w:val="bottom"/>
            <w:gridSpan w:val="5"/>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right="719" w:firstLine="443"/>
        <w:spacing w:after="0" w:line="234" w:lineRule="auto"/>
        <w:rPr>
          <w:sz w:val="20"/>
          <w:szCs w:val="20"/>
          <w:color w:val="auto"/>
        </w:rPr>
      </w:pPr>
      <w:r>
        <w:rPr>
          <w:rFonts w:ascii="Arial" w:cs="Arial" w:eastAsia="Arial" w:hAnsi="Arial"/>
          <w:sz w:val="14"/>
          <w:szCs w:val="14"/>
          <w:b w:val="1"/>
          <w:bCs w:val="1"/>
          <w:color w:val="auto"/>
        </w:rPr>
        <w:t>Through and including          , 2026 (the 25</w:t>
      </w:r>
      <w:r>
        <w:rPr>
          <w:rFonts w:ascii="Arial" w:cs="Arial" w:eastAsia="Arial" w:hAnsi="Arial"/>
          <w:sz w:val="19"/>
          <w:szCs w:val="19"/>
          <w:b w:val="1"/>
          <w:bCs w:val="1"/>
          <w:color w:val="auto"/>
          <w:vertAlign w:val="superscript"/>
        </w:rPr>
        <w:t>th</w:t>
      </w:r>
      <w:r>
        <w:rPr>
          <w:rFonts w:ascii="Arial" w:cs="Arial" w:eastAsia="Arial" w:hAnsi="Arial"/>
          <w:sz w:val="14"/>
          <w:szCs w:val="14"/>
          <w:b w:val="1"/>
          <w:bCs w:val="1"/>
          <w:color w:val="auto"/>
        </w:rPr>
        <w:t xml:space="preserve">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53"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54" w:lineRule="exact"/>
        <w:rPr>
          <w:sz w:val="20"/>
          <w:szCs w:val="20"/>
          <w:color w:val="auto"/>
        </w:rPr>
      </w:pPr>
    </w:p>
    <w:p>
      <w:pPr>
        <w:ind w:left="640" w:right="819" w:firstLine="443"/>
        <w:spacing w:after="0" w:line="250" w:lineRule="auto"/>
        <w:rPr>
          <w:sz w:val="20"/>
          <w:szCs w:val="20"/>
          <w:color w:val="auto"/>
        </w:rPr>
      </w:pPr>
      <w:r>
        <w:rPr>
          <w:rFonts w:ascii="Arial" w:cs="Arial" w:eastAsia="Arial" w:hAnsi="Arial"/>
          <w:sz w:val="14"/>
          <w:szCs w:val="14"/>
          <w:color w:val="auto"/>
        </w:rPr>
        <w:t>For investors outside of the United States: we have not, and the underwriters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53" w:lineRule="exact"/>
        <w:rPr>
          <w:sz w:val="20"/>
          <w:szCs w:val="20"/>
          <w:color w:val="auto"/>
        </w:rPr>
      </w:pPr>
    </w:p>
    <w:p>
      <w:pPr>
        <w:ind w:left="640" w:right="819" w:firstLine="443"/>
        <w:spacing w:after="0" w:line="282" w:lineRule="auto"/>
        <w:rPr>
          <w:sz w:val="20"/>
          <w:szCs w:val="20"/>
          <w:color w:val="auto"/>
        </w:rPr>
      </w:pPr>
      <w:r>
        <w:rPr>
          <w:rFonts w:ascii="Arial" w:cs="Arial" w:eastAsia="Arial" w:hAnsi="Arial"/>
          <w:sz w:val="14"/>
          <w:szCs w:val="14"/>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565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33975" cy="656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PROSPECTUS SUMMARY</w:t>
      </w:r>
    </w:p>
    <w:p>
      <w:pPr>
        <w:spacing w:after="0" w:line="88" w:lineRule="exact"/>
        <w:rPr>
          <w:sz w:val="20"/>
          <w:szCs w:val="20"/>
          <w:color w:val="auto"/>
        </w:rPr>
      </w:pPr>
    </w:p>
    <w:p>
      <w:pPr>
        <w:ind w:left="620" w:right="659" w:firstLine="443"/>
        <w:spacing w:after="0" w:line="245" w:lineRule="auto"/>
        <w:rPr>
          <w:sz w:val="20"/>
          <w:szCs w:val="20"/>
          <w:color w:val="auto"/>
        </w:rPr>
      </w:pPr>
      <w:r>
        <w:rPr>
          <w:rFonts w:ascii="Arial" w:cs="Arial" w:eastAsia="Arial" w:hAnsi="Arial"/>
          <w:sz w:val="14"/>
          <w:szCs w:val="14"/>
          <w:i w:val="1"/>
          <w:iCs w:val="1"/>
          <w:color w:val="auto"/>
        </w:rPr>
        <w:t>This summary highlights selected information that is presented in greater detail elsewhere in this prospectus, and is qualified in its entirety by the more detailed information included elsewhere in this prospectus. This summary does not contain all of the information you should consider before investing in our common stock. You should read this entire prospectus carefully, including the sections of this prospectus titled “Risk Factors,” “Special Note Regarding Forward-Looking Statements” and “Management’s Discussion and Analysis of Financial Condition and Results of Operations,” and our consolidated financial statements and the related notes included elsewhere in this prospectus before making an investment decision. Unless the context otherwise requires, the terms “Odyssey,” “we,” “us,” “our” or similar terms refer to Odyssey Therapeutics, Inc. and its wholly owned subsidiaries.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Overview</w:t>
      </w:r>
    </w:p>
    <w:p>
      <w:pPr>
        <w:spacing w:after="0" w:line="86" w:lineRule="exact"/>
        <w:rPr>
          <w:sz w:val="20"/>
          <w:szCs w:val="20"/>
          <w:color w:val="auto"/>
        </w:rPr>
      </w:pPr>
    </w:p>
    <w:p>
      <w:pPr>
        <w:ind w:left="620" w:right="699" w:firstLine="438"/>
        <w:spacing w:after="0" w:line="248" w:lineRule="auto"/>
        <w:rPr>
          <w:sz w:val="20"/>
          <w:szCs w:val="20"/>
          <w:color w:val="auto"/>
        </w:rPr>
      </w:pPr>
      <w:r>
        <w:rPr>
          <w:rFonts w:ascii="Arial" w:cs="Arial" w:eastAsia="Arial" w:hAnsi="Arial"/>
          <w:sz w:val="14"/>
          <w:szCs w:val="14"/>
          <w:color w:val="auto"/>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We have prioritized targets where we believe the underlying disease biology is understood through genetic, clinical, or translational evidence.</w:t>
      </w:r>
    </w:p>
    <w:p>
      <w:pPr>
        <w:spacing w:after="0" w:line="54" w:lineRule="exact"/>
        <w:rPr>
          <w:sz w:val="20"/>
          <w:szCs w:val="20"/>
          <w:color w:val="auto"/>
        </w:rPr>
      </w:pPr>
    </w:p>
    <w:p>
      <w:pPr>
        <w:ind w:left="620" w:right="719" w:firstLine="443"/>
        <w:spacing w:after="0" w:line="243" w:lineRule="auto"/>
        <w:rPr>
          <w:sz w:val="20"/>
          <w:szCs w:val="20"/>
          <w:color w:val="auto"/>
        </w:rPr>
      </w:pPr>
      <w:r>
        <w:rPr>
          <w:rFonts w:ascii="Arial" w:cs="Arial" w:eastAsia="Arial" w:hAnsi="Arial"/>
          <w:sz w:val="14"/>
          <w:szCs w:val="14"/>
          <w:color w:val="auto"/>
        </w:rPr>
        <w:t>Our most advanced programs include OD-001, an oral small-molecule scaffolding inhibitor of receptor-interacting protein kinase 2, or RIPK2, and an oral small-molecule inhibitor of solute carrier family 15 member 4, or SLC15A4. OD-001 has achieved proof-of-concept in a phase 2a trial for the treatment of ulcerative colitis, or UC, one of the two main types of inflammatory bowel disease, or IBD, and OD-002, our SLC15A4 inhibitor product candidate, is currently in IND-enabling studies. These programs have the potential to yield treatments for inflammatory and autoimmune diseases that have large, addressable patient populations globally and a lack of effective treatments, including IBD, systemic lupus erythematosus, or SLE, and other disorders characterized either by the chronic overactivation of the type I interferon pathway, referred to as interferonopathies, or by pathogenic autoreactive B cells. In addition to our most advanced programs, we have a portfolio of wholly owned preclinical programs that include, but are not limited to, a regulatory T cell, or Treg, -specific tumor necrosis factor receptor 2, or TNFR2, agonist, a bispecific antagonist of thymic stromal lymphopoietin, or TSLP, and interleukin-33, or IL-33, and an interleukin-1 receptor-associated kinase 4, or IRAK4, scaffolding inhibitor. We also have an interferon regulatory factor 5, or IRF5, inhibitor in preclinical development that we are collaborating on with Terray Therapeutics, Inc., or Terray.</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Our Approach to Immunology and Drug Discovery</w:t>
      </w:r>
    </w:p>
    <w:p>
      <w:pPr>
        <w:spacing w:after="0" w:line="86" w:lineRule="exact"/>
        <w:rPr>
          <w:sz w:val="20"/>
          <w:szCs w:val="20"/>
          <w:color w:val="auto"/>
        </w:rPr>
      </w:pPr>
    </w:p>
    <w:p>
      <w:pPr>
        <w:ind w:left="620" w:right="719" w:firstLine="443"/>
        <w:spacing w:after="0" w:line="246" w:lineRule="auto"/>
        <w:rPr>
          <w:sz w:val="20"/>
          <w:szCs w:val="20"/>
          <w:color w:val="auto"/>
        </w:rPr>
      </w:pPr>
      <w:r>
        <w:rPr>
          <w:rFonts w:ascii="Arial" w:cs="Arial" w:eastAsia="Arial" w:hAnsi="Arial"/>
          <w:sz w:val="14"/>
          <w:szCs w:val="14"/>
          <w:color w:val="auto"/>
        </w:rPr>
        <w:t xml:space="preserve">The human immune system is a complex network of cells, tissues, and organs that can be divided into two primary components: the innate immune system and adaptive immune system. The innate immune system, which forms the body’s first line of defense, is a cellular network with highly selective receptors and activators that responds to pathogenic stimuli, both directly and by producing proinflammatory cytokines that activate the secondary line of defense: the adaptive immune system. The adaptive immune system helps eliminate pathogens and retains a memory of them for a more effective immune response to previously encountered pathogens. While these responses are necessary for normal homeostatic function and host defense, </w:t>
      </w:r>
      <w:r>
        <w:rPr>
          <w:rFonts w:ascii="Arial" w:cs="Arial" w:eastAsia="Arial" w:hAnsi="Arial"/>
          <w:sz w:val="14"/>
          <w:szCs w:val="14"/>
          <w:i w:val="1"/>
          <w:iCs w:val="1"/>
          <w:color w:val="auto"/>
        </w:rPr>
        <w:t>chronic</w:t>
      </w:r>
      <w:r>
        <w:rPr>
          <w:rFonts w:ascii="Arial" w:cs="Arial" w:eastAsia="Arial" w:hAnsi="Arial"/>
          <w:sz w:val="14"/>
          <w:szCs w:val="14"/>
          <w:color w:val="auto"/>
        </w:rPr>
        <w:t xml:space="preserve"> proinflammatory signaling that remains unresolved propagates inflammatory disease and organ damage,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661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33975" cy="66617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20" w:right="639" w:firstLine="443"/>
        <w:spacing w:after="0" w:line="245" w:lineRule="auto"/>
        <w:rPr>
          <w:sz w:val="20"/>
          <w:szCs w:val="20"/>
          <w:color w:val="auto"/>
        </w:rPr>
      </w:pPr>
      <w:r>
        <w:rPr>
          <w:rFonts w:ascii="Arial" w:cs="Arial" w:eastAsia="Arial" w:hAnsi="Arial"/>
          <w:sz w:val="14"/>
          <w:szCs w:val="14"/>
          <w:color w:val="auto"/>
        </w:rPr>
        <w:t>Current therapies for inflammatory diseases are largely focused on the downstream adaptive immune response— specifically, the inhibition of cytokines—and have produced meaningful benefits for patients, but share fundamental limitations despite targeting different cytokines. Because cytokines have redundant function, blocking any one downstream cytokine does not prevent others from activating the adaptive immune response. Cytokines have many functions and therefore inhibiting a cytokine relevant in disease also negatively impacts normal homeostasis and is typically associated with immunosuppression. We believe existing therapeutics will continue to be challenging to combine safely into additive or synergistic multidrug regimens and leave disease mechanisms unaddressed. By targeting innate immune responses, our product candidates have the potential, whether as monotherapies or in combination, to address the issue of downstream cytokine redundancy while having less immunosuppressive risk.</w:t>
      </w:r>
    </w:p>
    <w:p>
      <w:pPr>
        <w:spacing w:after="0" w:line="57" w:lineRule="exact"/>
        <w:rPr>
          <w:sz w:val="20"/>
          <w:szCs w:val="20"/>
          <w:color w:val="auto"/>
        </w:rPr>
      </w:pPr>
    </w:p>
    <w:p>
      <w:pPr>
        <w:ind w:left="620" w:right="819" w:firstLine="443"/>
        <w:spacing w:after="0" w:line="248" w:lineRule="auto"/>
        <w:rPr>
          <w:sz w:val="20"/>
          <w:szCs w:val="20"/>
          <w:color w:val="auto"/>
        </w:rPr>
      </w:pPr>
      <w:r>
        <w:rPr>
          <w:rFonts w:ascii="Arial" w:cs="Arial" w:eastAsia="Arial" w:hAnsi="Arial"/>
          <w:sz w:val="14"/>
          <w:szCs w:val="14"/>
          <w:color w:val="auto"/>
        </w:rPr>
        <w:t>Drug discovery and development at Odyssey is run by a team of experts who collectively have decades of experience across biotechnology and pharmaceutical companies. We first seek to identify targets that address patient populations with significant unmet need within immunology. In considering targets, we prefer those where the biology is well characterized and where clinical or translational evidence can be combined with human genetics to inform potential safety and efficacy. Following target selection, we leverage internal capabilities to determine which modality—small molecule or protein therapeutic—is optimal for effectively drugging the core biology we aim to address.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Our Strengths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We believe the success of our efforts will be driven by the following differentiating factors:</w:t>
      </w:r>
    </w:p>
    <w:p>
      <w:pPr>
        <w:spacing w:after="0" w:line="86" w:lineRule="exact"/>
        <w:rPr>
          <w:sz w:val="20"/>
          <w:szCs w:val="20"/>
          <w:color w:val="auto"/>
        </w:rPr>
      </w:pPr>
    </w:p>
    <w:p>
      <w:pPr>
        <w:ind w:left="1220" w:right="979" w:hanging="150"/>
        <w:spacing w:after="0" w:line="260" w:lineRule="auto"/>
        <w:tabs>
          <w:tab w:leader="none" w:pos="122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Our deep knowledge of human immune biology. </w:t>
      </w:r>
      <w:r>
        <w:rPr>
          <w:rFonts w:ascii="Arial" w:cs="Arial" w:eastAsia="Arial" w:hAnsi="Arial"/>
          <w:sz w:val="14"/>
          <w:szCs w:val="14"/>
          <w:color w:val="auto"/>
        </w:rPr>
        <w:t>Our portfolio leverages our comprehensive grasp of the</w:t>
      </w:r>
      <w:r>
        <w:rPr>
          <w:rFonts w:ascii="Arial" w:cs="Arial" w:eastAsia="Arial" w:hAnsi="Arial"/>
          <w:sz w:val="14"/>
          <w:szCs w:val="14"/>
          <w:b w:val="1"/>
          <w:bCs w:val="1"/>
          <w:color w:val="auto"/>
        </w:rPr>
        <w:t xml:space="preserve"> </w:t>
      </w:r>
      <w:r>
        <w:rPr>
          <w:rFonts w:ascii="Arial" w:cs="Arial" w:eastAsia="Arial" w:hAnsi="Arial"/>
          <w:sz w:val="14"/>
          <w:szCs w:val="14"/>
          <w:color w:val="auto"/>
        </w:rPr>
        <w:t>immune system to address a broader range of targets or mechanisms than historically undertaken by biopharmaceutical companies.</w:t>
      </w:r>
    </w:p>
    <w:p>
      <w:pPr>
        <w:spacing w:after="0" w:line="45" w:lineRule="exact"/>
        <w:rPr>
          <w:rFonts w:ascii="Times New Roman" w:cs="Times New Roman" w:eastAsia="Times New Roman" w:hAnsi="Times New Roman"/>
          <w:sz w:val="14"/>
          <w:szCs w:val="14"/>
          <w:color w:val="auto"/>
        </w:rPr>
      </w:pPr>
    </w:p>
    <w:p>
      <w:pPr>
        <w:ind w:left="1220" w:right="759" w:hanging="150"/>
        <w:spacing w:after="0" w:line="254" w:lineRule="auto"/>
        <w:tabs>
          <w:tab w:leader="none" w:pos="122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Our expertise in small molecules and protein therapeutics allows us to tackle a broad range of therapeutic targets. </w:t>
      </w:r>
      <w:r>
        <w:rPr>
          <w:rFonts w:ascii="Arial" w:cs="Arial" w:eastAsia="Arial" w:hAnsi="Arial"/>
          <w:sz w:val="14"/>
          <w:szCs w:val="14"/>
          <w:color w:val="auto"/>
        </w:rPr>
        <w:t>We have deep organizational expertise in medicinal and protein chemistry along with</w:t>
      </w:r>
      <w:r>
        <w:rPr>
          <w:rFonts w:ascii="Arial" w:cs="Arial" w:eastAsia="Arial" w:hAnsi="Arial"/>
          <w:sz w:val="14"/>
          <w:szCs w:val="14"/>
          <w:b w:val="1"/>
          <w:bCs w:val="1"/>
          <w:color w:val="auto"/>
        </w:rPr>
        <w:t xml:space="preserve"> </w:t>
      </w:r>
      <w:r>
        <w:rPr>
          <w:rFonts w:ascii="Arial" w:cs="Arial" w:eastAsia="Arial" w:hAnsi="Arial"/>
          <w:sz w:val="14"/>
          <w:szCs w:val="14"/>
          <w:color w:val="auto"/>
        </w:rPr>
        <w:t>structural biology and biophysics, and we have efficiently invested to enable discovery and development across both modalities.</w:t>
      </w:r>
    </w:p>
    <w:p>
      <w:pPr>
        <w:spacing w:after="0" w:line="48" w:lineRule="exact"/>
        <w:rPr>
          <w:rFonts w:ascii="Times New Roman" w:cs="Times New Roman" w:eastAsia="Times New Roman" w:hAnsi="Times New Roman"/>
          <w:sz w:val="14"/>
          <w:szCs w:val="14"/>
          <w:color w:val="auto"/>
        </w:rPr>
      </w:pPr>
    </w:p>
    <w:p>
      <w:pPr>
        <w:ind w:left="1220" w:right="699" w:hanging="150"/>
        <w:spacing w:after="0" w:line="250" w:lineRule="auto"/>
        <w:tabs>
          <w:tab w:leader="none" w:pos="122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Highly productive and efficient research and development capabilities. </w:t>
      </w:r>
      <w:r>
        <w:rPr>
          <w:rFonts w:ascii="Arial" w:cs="Arial" w:eastAsia="Arial" w:hAnsi="Arial"/>
          <w:sz w:val="14"/>
          <w:szCs w:val="14"/>
          <w:color w:val="auto"/>
        </w:rPr>
        <w:t>Since our founding in 2021, we</w:t>
      </w:r>
      <w:r>
        <w:rPr>
          <w:rFonts w:ascii="Arial" w:cs="Arial" w:eastAsia="Arial" w:hAnsi="Arial"/>
          <w:sz w:val="14"/>
          <w:szCs w:val="14"/>
          <w:b w:val="1"/>
          <w:bCs w:val="1"/>
          <w:color w:val="auto"/>
        </w:rPr>
        <w:t xml:space="preserve"> </w:t>
      </w:r>
      <w:r>
        <w:rPr>
          <w:rFonts w:ascii="Arial" w:cs="Arial" w:eastAsia="Arial" w:hAnsi="Arial"/>
          <w:sz w:val="14"/>
          <w:szCs w:val="14"/>
          <w:color w:val="auto"/>
        </w:rPr>
        <w:t>have internally discovered and developed a broad portfolio of product candidates and achieved clinical proof-of-concept for our lead program, OD-001, in March 2026. Our regulatory strategy is globally focused and generally utilizes clinical trial application, or CTA, submissions prior to investigational new drug applications, or IND, filings to accelerate development timelines through a streamlined submission process.</w:t>
      </w:r>
    </w:p>
    <w:p>
      <w:pPr>
        <w:spacing w:after="0" w:line="52" w:lineRule="exact"/>
        <w:rPr>
          <w:rFonts w:ascii="Times New Roman" w:cs="Times New Roman" w:eastAsia="Times New Roman" w:hAnsi="Times New Roman"/>
          <w:sz w:val="14"/>
          <w:szCs w:val="14"/>
          <w:color w:val="auto"/>
        </w:rPr>
      </w:pPr>
    </w:p>
    <w:p>
      <w:pPr>
        <w:ind w:left="1220" w:right="779" w:hanging="150"/>
        <w:spacing w:after="0" w:line="254" w:lineRule="auto"/>
        <w:tabs>
          <w:tab w:leader="none" w:pos="122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Our management team and board of directors have a long track record of therapeutic development and company building. </w:t>
      </w:r>
      <w:r>
        <w:rPr>
          <w:rFonts w:ascii="Arial" w:cs="Arial" w:eastAsia="Arial" w:hAnsi="Arial"/>
          <w:sz w:val="14"/>
          <w:szCs w:val="14"/>
          <w:color w:val="auto"/>
        </w:rPr>
        <w:t>Our management team and board of directors have played critical roles in the discovery,</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and acquisition of multiple blockbuster therapies and in founding and building biopharmaceutical companies.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Small Molecules</w:t>
      </w:r>
    </w:p>
    <w:p>
      <w:pPr>
        <w:spacing w:after="0" w:line="86" w:lineRule="exact"/>
        <w:rPr>
          <w:sz w:val="20"/>
          <w:szCs w:val="20"/>
          <w:color w:val="auto"/>
        </w:rPr>
      </w:pPr>
    </w:p>
    <w:p>
      <w:pPr>
        <w:ind w:left="620" w:right="739" w:firstLine="443"/>
        <w:spacing w:after="0" w:line="250" w:lineRule="auto"/>
        <w:rPr>
          <w:sz w:val="20"/>
          <w:szCs w:val="20"/>
          <w:color w:val="auto"/>
        </w:rPr>
      </w:pPr>
      <w:r>
        <w:rPr>
          <w:rFonts w:ascii="Arial" w:cs="Arial" w:eastAsia="Arial" w:hAnsi="Arial"/>
          <w:sz w:val="14"/>
          <w:szCs w:val="14"/>
          <w:color w:val="auto"/>
        </w:rPr>
        <w:t>Small molecules are preferred to address intracellular targets or provide an oral option where that administration route will be important for prescribers and patients. We have internal expertise to pursue a number of small-molecule mechanisms, including traditional inhibitors, protein-protein inhibitors, molecular glues, and protein degraders. To support our discovery and development, we have invested in a suite of tools and capabilities, including our artificial intelligence/machine learning, or AI/ML, platform.</w:t>
      </w:r>
    </w:p>
    <w:p>
      <w:pPr>
        <w:spacing w:after="0" w:line="53" w:lineRule="exact"/>
        <w:rPr>
          <w:sz w:val="20"/>
          <w:szCs w:val="20"/>
          <w:color w:val="auto"/>
        </w:rPr>
      </w:pPr>
    </w:p>
    <w:p>
      <w:pPr>
        <w:ind w:left="620" w:right="839" w:firstLine="443"/>
        <w:spacing w:after="0" w:line="250" w:lineRule="auto"/>
        <w:rPr>
          <w:sz w:val="20"/>
          <w:szCs w:val="20"/>
          <w:color w:val="auto"/>
        </w:rPr>
      </w:pPr>
      <w:r>
        <w:rPr>
          <w:rFonts w:ascii="Arial" w:cs="Arial" w:eastAsia="Arial" w:hAnsi="Arial"/>
          <w:sz w:val="14"/>
          <w:szCs w:val="14"/>
          <w:color w:val="auto"/>
        </w:rPr>
        <w:t>Our AI/ML platform is designed to support small-molecule drug discovery from program initiation through identification of a development candidate in silico. Specifically, leveraging our platform can (1) help to elucidate cryptic pockets through novel techniques pioneered by our employees, (2) enable us to use virtual screening and generative chemistry to identify and optimize hits, and (3) when used alongside traditional medicinal chemistry efforts, enable us to efficiently progress our programs.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Protein Therapeutics</w:t>
      </w:r>
    </w:p>
    <w:p>
      <w:pPr>
        <w:spacing w:after="0" w:line="86" w:lineRule="exact"/>
        <w:rPr>
          <w:sz w:val="20"/>
          <w:szCs w:val="20"/>
          <w:color w:val="auto"/>
        </w:rPr>
      </w:pPr>
    </w:p>
    <w:p>
      <w:pPr>
        <w:ind w:left="620" w:right="659" w:firstLine="443"/>
        <w:spacing w:after="0" w:line="248" w:lineRule="auto"/>
        <w:rPr>
          <w:sz w:val="20"/>
          <w:szCs w:val="20"/>
          <w:color w:val="auto"/>
        </w:rPr>
      </w:pPr>
      <w:r>
        <w:rPr>
          <w:rFonts w:ascii="Arial" w:cs="Arial" w:eastAsia="Arial" w:hAnsi="Arial"/>
          <w:sz w:val="14"/>
          <w:szCs w:val="14"/>
          <w:color w:val="auto"/>
        </w:rPr>
        <w:t>We believe that protein therapeutics are ideal for extracellular targets, particularly where multiple targets or receptors must be engaged for desired pharmacology. Within the protein therapeutic class, there are numerous formats that have been used in approved drugs, including monoclonal antibodies or their fragments, or Fab, bispecific antibodies, fusion proteins, and VHH-based single-domain antibodies and derivatives thereof, which we collectively refer to as VHH or V-bodies. We believe VHH provide a superior platform for the development of next-generation protein therapeutics compared to conventional antibodies and fusion proteins because of their lower molecular weight, modularity, ease of</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6" w:name="page7"/>
    <w:bookmarkEnd w:id="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722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33975" cy="672274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0" w:right="679"/>
        <w:spacing w:after="0" w:line="261" w:lineRule="auto"/>
        <w:rPr>
          <w:sz w:val="20"/>
          <w:szCs w:val="20"/>
          <w:color w:val="auto"/>
        </w:rPr>
      </w:pPr>
      <w:r>
        <w:rPr>
          <w:rFonts w:ascii="Arial" w:cs="Arial" w:eastAsia="Arial" w:hAnsi="Arial"/>
          <w:sz w:val="14"/>
          <w:szCs w:val="14"/>
          <w:color w:val="auto"/>
        </w:rPr>
        <w:t>engineering and manufacturing, and developability characteristics. Like our small-molecule research, we employ AI and ML models in developing our protein therapeutics. These models enable us to identify favorable combinations of VHH and help guide optimization of affinity, stability, and developability.</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Our Pipeline</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Our wholly owned and publicly disclosed drug development pipeline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RIPK2</w:t>
      </w:r>
    </w:p>
    <w:p>
      <w:pPr>
        <w:spacing w:after="0" w:line="84" w:lineRule="exact"/>
        <w:rPr>
          <w:sz w:val="20"/>
          <w:szCs w:val="20"/>
          <w:color w:val="auto"/>
        </w:rPr>
      </w:pPr>
    </w:p>
    <w:p>
      <w:pPr>
        <w:ind w:left="620" w:right="719" w:firstLine="443"/>
        <w:spacing w:after="0" w:line="248" w:lineRule="auto"/>
        <w:rPr>
          <w:sz w:val="20"/>
          <w:szCs w:val="20"/>
          <w:color w:val="auto"/>
        </w:rPr>
      </w:pPr>
      <w:r>
        <w:rPr>
          <w:rFonts w:ascii="Arial" w:cs="Arial" w:eastAsia="Arial" w:hAnsi="Arial"/>
          <w:sz w:val="14"/>
          <w:szCs w:val="14"/>
          <w:color w:val="auto"/>
        </w:rPr>
        <w:t>OD-001, our oral small-molecule RIPK2 scaffolding inhibitor product candidate, is in phase 2a development for the treatment of UC, which is one of the two main types of IBD. IBD is an autoimmune disease that degrades, damages and can perforate the gastrointestinal, or GI, tract and afflicts two-to-three million people in the United States. Despite there being more than ten approved therapies spanning multiple mechanisms of action, placebo-adjusted remission rates for IBD do not exceed approximately 25% (a so called “therapeutic ceiling”). Moreover, 45% of patients who initially respond to treatment with existing approved therapies lose response within five years.</w:t>
      </w:r>
    </w:p>
    <w:p>
      <w:pPr>
        <w:spacing w:after="0" w:line="54" w:lineRule="exact"/>
        <w:rPr>
          <w:sz w:val="20"/>
          <w:szCs w:val="20"/>
          <w:color w:val="auto"/>
        </w:rPr>
      </w:pPr>
    </w:p>
    <w:p>
      <w:pPr>
        <w:ind w:left="620" w:right="659" w:firstLine="438"/>
        <w:spacing w:after="0" w:line="244" w:lineRule="auto"/>
        <w:rPr>
          <w:sz w:val="20"/>
          <w:szCs w:val="20"/>
          <w:color w:val="auto"/>
        </w:rPr>
      </w:pPr>
      <w:r>
        <w:rPr>
          <w:rFonts w:ascii="Arial" w:cs="Arial" w:eastAsia="Arial" w:hAnsi="Arial"/>
          <w:sz w:val="14"/>
          <w:szCs w:val="14"/>
          <w:color w:val="auto"/>
        </w:rPr>
        <w:t>RIPK2 is a critical signaling protein of the innate immune system that responds to bacterial byproducts from the GI tract and has been implicated both as an initiator of IBD and may be a mechanism of resistance to standard-of-care therapies, including tumor necrosis factor, or TNF, and integrin-blocking therapies. Based on the observations of increased activation of RIPK2 in IBD patients, the linkage of RIPK2-associated gene expression with disease severity and the reduction of disease following RIPK2 knockout or inhibition in preclinical models, we believe that blocking RIPK2 has the potential to address the core pathology of IBD. RIPK2 inhibition blocks the production of multiple cytokines in response to bacterial byproducts, many of which are validated therapeutic targets for IBD treatment, including TNF, TNF-like cytokine 1A, or TL1A, and interleukin 23, or IL-23. By blocking these cytokines, the adaptive immune response is reduced. In addition, by blocking RIPK2, we believe we can also prevent direct damage to the gut epithelial lining by the activation of innate immune cells. Leveraging our platform capabilities, our development candidate OD-001 was discovered and nominated to progress into clinical trials in under 24 months. We believe that OD-001, as either monotherapy or in combination with existing therapies, has the potential to break the current therapeutic ceiling in IBD.</w:t>
      </w:r>
    </w:p>
    <w:p>
      <w:pPr>
        <w:spacing w:after="0" w:line="55" w:lineRule="exact"/>
        <w:rPr>
          <w:sz w:val="20"/>
          <w:szCs w:val="20"/>
          <w:color w:val="auto"/>
        </w:rPr>
      </w:pPr>
    </w:p>
    <w:p>
      <w:pPr>
        <w:ind w:left="620" w:right="759" w:firstLine="438"/>
        <w:spacing w:after="0" w:line="248" w:lineRule="auto"/>
        <w:rPr>
          <w:sz w:val="20"/>
          <w:szCs w:val="20"/>
          <w:color w:val="auto"/>
        </w:rPr>
      </w:pPr>
      <w:r>
        <w:rPr>
          <w:rFonts w:ascii="Arial" w:cs="Arial" w:eastAsia="Arial" w:hAnsi="Arial"/>
          <w:sz w:val="14"/>
          <w:szCs w:val="14"/>
          <w:color w:val="auto"/>
        </w:rPr>
        <w:t>In the fourth quarter of 2024, we completed a phase 1 trial of OD-001 in healthy adult participants in Australia that demonstrated that OD-001 was well tolerated and provided continuous target coverage. In May 2025, we initiated dosing in an open-label phase 2a trial assessing OD-001 as a monotherapy at two dose levels in UC patients and we currently expect to release topline induction results in April 2026. As of the date of this prospectus, we have completed dosing of OD-001 in all patients in part 1 and part 2 of the phase 2a clinical trial and observed patient benefit across multiple disease-relevant endpoints in the 49 patients who completed 12 weeks of treatment with OD-001 per protocol. With</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7" w:name="page8"/>
    <w:bookmarkEnd w:id="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354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33975" cy="635444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0" w:right="699"/>
        <w:spacing w:after="0" w:line="245" w:lineRule="auto"/>
        <w:rPr>
          <w:sz w:val="20"/>
          <w:szCs w:val="20"/>
          <w:color w:val="auto"/>
        </w:rPr>
      </w:pPr>
      <w:r>
        <w:rPr>
          <w:rFonts w:ascii="Arial" w:cs="Arial" w:eastAsia="Arial" w:hAnsi="Arial"/>
          <w:sz w:val="14"/>
          <w:szCs w:val="14"/>
          <w:color w:val="auto"/>
        </w:rPr>
        <w:t>regard to safety and tolerability across all 53 patients enrolled, OD-001 has been well tolerated with no serious adverse events or discontinuations due to adverse events. Pending discussions with regulatory agencies, we expect to commence a randomized, double-blind phase 2a trial assessing OD-001 in combination with vedolizumab, an approved integrin-blocking therapy, compared to vedolizumab in combination with placebo, in the second half of 2026 and we expect to release topline induction results in the second half of 2027. In addition, we expect to initiate a double-blind, randomized and placebo-controlled phase 2b trial assessing two dose levels of OD-001 as a monotherapy compared to placebo in the second half of 2026, with topline monotherapy induction results expected in the second half of 2027. We anticipate conducting our future trials at sites both in the United States and across the rest of the world pending approval and clearance to proceed by the applicable regulatory authorities.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SLC15A4</w:t>
      </w:r>
    </w:p>
    <w:p>
      <w:pPr>
        <w:spacing w:after="0" w:line="84" w:lineRule="exact"/>
        <w:rPr>
          <w:sz w:val="20"/>
          <w:szCs w:val="20"/>
          <w:color w:val="auto"/>
        </w:rPr>
      </w:pPr>
    </w:p>
    <w:p>
      <w:pPr>
        <w:ind w:left="620" w:right="779" w:firstLine="443"/>
        <w:spacing w:after="0" w:line="246" w:lineRule="auto"/>
        <w:rPr>
          <w:sz w:val="20"/>
          <w:szCs w:val="20"/>
          <w:color w:val="auto"/>
        </w:rPr>
      </w:pPr>
      <w:r>
        <w:rPr>
          <w:rFonts w:ascii="Arial" w:cs="Arial" w:eastAsia="Arial" w:hAnsi="Arial"/>
          <w:sz w:val="14"/>
          <w:szCs w:val="14"/>
          <w:color w:val="auto"/>
        </w:rPr>
        <w:t>OD-002, our oral small-molecule SLC15A4 inhibitor product candidate, is currently in IND-enabling studies. SLC15A4 is a critical signaling protein in the immune response triggered by TLR7/8/9 activation from nucleic acids, such as RNA or DNA, and nucleic acid-containing complexes. This pathway leads to the production of type I interferons, proinflammatory cytokines and chemokines, and activates pathogenic B cell proliferation. We believe that inhibition of SLC15A4 has the potential to be more effective than TLR7/8 inhibitors, which leave TLR9 unaddressed, or interferon-blocking drugs, which fail to reduce other proinflammatory cytokines or chemokines. Hence, we intend to develop our SLC15A4 inhibitor for the treatment of interferonopathies, including SLE, cutaneous lupus erythematosus, or CLE, and other B cell-mediated autoimmune diseases.</w:t>
      </w:r>
    </w:p>
    <w:p>
      <w:pPr>
        <w:spacing w:after="0" w:line="54" w:lineRule="exact"/>
        <w:rPr>
          <w:sz w:val="20"/>
          <w:szCs w:val="20"/>
          <w:color w:val="auto"/>
        </w:rPr>
      </w:pPr>
    </w:p>
    <w:p>
      <w:pPr>
        <w:ind w:left="620" w:right="639" w:firstLine="438"/>
        <w:spacing w:after="0" w:line="244" w:lineRule="auto"/>
        <w:rPr>
          <w:sz w:val="20"/>
          <w:szCs w:val="20"/>
          <w:color w:val="auto"/>
        </w:rPr>
      </w:pPr>
      <w:r>
        <w:rPr>
          <w:rFonts w:ascii="Arial" w:cs="Arial" w:eastAsia="Arial" w:hAnsi="Arial"/>
          <w:sz w:val="14"/>
          <w:szCs w:val="14"/>
          <w:color w:val="auto"/>
        </w:rPr>
        <w:t>Using our AI/ML platform, we identified novel, high-quality starting points for this program in October of 2024 and rapidly advanced development, initiating IND-enabling studies for our development candidate, OD-002, 14 months later in December 2025. Pending an acceptable profile in these IND-enabling studies, we expect to file a CTA for this program outside of the United States in the second half of 2026 and then would expect to initiate a phase 1/2a trial in healthy participants and multiple patient cohorts. We expect that the healthy participant portion of this trial will consist of a single ascending dose, or SAD, component and a multiple ascending dose, or MAD, component to assess safety, pharmacokinetics, or PK, and pharmacodynamics, or PD, and a food effect component. We expect the phase 2a portion of this trial to enroll multiple patient cohorts, including CLE and potentially other interferonopathies or B cell mediated autoimmune diseases, for assessment of 12-week safety and efficacy. We expect to announce results from the healthy participant portion of this trial in the second half of 2027.</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181717"/>
        </w:rPr>
        <w:t>Additional Programs</w:t>
      </w:r>
    </w:p>
    <w:p>
      <w:pPr>
        <w:spacing w:after="0" w:line="140" w:lineRule="exact"/>
        <w:rPr>
          <w:sz w:val="20"/>
          <w:szCs w:val="20"/>
          <w:color w:val="auto"/>
        </w:rPr>
      </w:pPr>
    </w:p>
    <w:p>
      <w:pPr>
        <w:ind w:left="620" w:right="979" w:firstLine="515"/>
        <w:spacing w:after="0" w:line="282" w:lineRule="auto"/>
        <w:rPr>
          <w:sz w:val="20"/>
          <w:szCs w:val="20"/>
          <w:color w:val="auto"/>
        </w:rPr>
      </w:pPr>
      <w:r>
        <w:rPr>
          <w:rFonts w:ascii="Arial" w:cs="Arial" w:eastAsia="Arial" w:hAnsi="Arial"/>
          <w:sz w:val="14"/>
          <w:szCs w:val="14"/>
          <w:color w:val="181717"/>
        </w:rPr>
        <w:t>In addition to our most advanced programs, we have a portfolio of wholly owned preclinical programs that are designed to target key drivers of inflammatory and autoimmune diseases.</w:t>
      </w:r>
    </w:p>
    <w:p>
      <w:pPr>
        <w:spacing w:after="0" w:line="94" w:lineRule="exact"/>
        <w:rPr>
          <w:sz w:val="20"/>
          <w:szCs w:val="20"/>
          <w:color w:val="auto"/>
        </w:rPr>
      </w:pPr>
    </w:p>
    <w:p>
      <w:pPr>
        <w:ind w:left="620" w:right="839" w:firstLine="515"/>
        <w:spacing w:after="0" w:line="250" w:lineRule="auto"/>
        <w:rPr>
          <w:sz w:val="20"/>
          <w:szCs w:val="20"/>
          <w:color w:val="auto"/>
        </w:rPr>
      </w:pPr>
      <w:r>
        <w:rPr>
          <w:rFonts w:ascii="Arial" w:cs="Arial" w:eastAsia="Arial" w:hAnsi="Arial"/>
          <w:sz w:val="14"/>
          <w:szCs w:val="14"/>
          <w:color w:val="181717"/>
        </w:rPr>
        <w:t xml:space="preserve">The most advanced of these programs is OD-003, a V-body protein therapeutic designed to selectively agonize TNFR2, a receptor highly expressed on Treg. Agonism of TNFR2 activates and expands Treg while enhancing their immunosuppressive function and phenotype stability, which we believe can result in improved efficacy compared to interleukin-2, or IL-2, based therapies. IND-enabling activities for OD-003 are currently ongoing and </w:t>
      </w:r>
      <w:r>
        <w:rPr>
          <w:rFonts w:ascii="Arial" w:cs="Arial" w:eastAsia="Arial" w:hAnsi="Arial"/>
          <w:sz w:val="14"/>
          <w:szCs w:val="14"/>
          <w:color w:val="000000"/>
        </w:rPr>
        <w:t>expected to</w:t>
      </w:r>
      <w:r>
        <w:rPr>
          <w:rFonts w:ascii="Arial" w:cs="Arial" w:eastAsia="Arial" w:hAnsi="Arial"/>
          <w:sz w:val="14"/>
          <w:szCs w:val="14"/>
          <w:color w:val="181717"/>
        </w:rPr>
        <w:t xml:space="preserve"> </w:t>
      </w:r>
      <w:r>
        <w:rPr>
          <w:rFonts w:ascii="Arial" w:cs="Arial" w:eastAsia="Arial" w:hAnsi="Arial"/>
          <w:sz w:val="14"/>
          <w:szCs w:val="14"/>
          <w:color w:val="000000"/>
        </w:rPr>
        <w:t>complete in the first quarter of 2027</w:t>
      </w:r>
      <w:r>
        <w:rPr>
          <w:rFonts w:ascii="Arial" w:cs="Arial" w:eastAsia="Arial" w:hAnsi="Arial"/>
          <w:sz w:val="14"/>
          <w:szCs w:val="14"/>
          <w:color w:val="181717"/>
        </w:rPr>
        <w:t>.</w:t>
      </w:r>
    </w:p>
    <w:p>
      <w:pPr>
        <w:spacing w:after="0" w:line="107" w:lineRule="exact"/>
        <w:rPr>
          <w:sz w:val="20"/>
          <w:szCs w:val="20"/>
          <w:color w:val="auto"/>
        </w:rPr>
      </w:pPr>
    </w:p>
    <w:p>
      <w:pPr>
        <w:ind w:left="620" w:right="739" w:firstLine="515"/>
        <w:spacing w:after="0" w:line="248" w:lineRule="auto"/>
        <w:rPr>
          <w:sz w:val="20"/>
          <w:szCs w:val="20"/>
          <w:color w:val="auto"/>
        </w:rPr>
      </w:pPr>
      <w:r>
        <w:rPr>
          <w:rFonts w:ascii="Arial" w:cs="Arial" w:eastAsia="Arial" w:hAnsi="Arial"/>
          <w:sz w:val="14"/>
          <w:szCs w:val="14"/>
          <w:color w:val="181717"/>
        </w:rPr>
        <w:t>The second most advanced of these additional programs is OD-004, a V-body bispecific protein antagonist of TSLP and IL-33, two key upstream alarmins that initiate and sustain inflammatory responses in respiratory diseases such as asthma and chronic obstructive pulmonary disease, or COPD. TSLP and IL-33 are compensatory and redundant cytokines that activate overlapping immune pathways and cell types. Therefore, we believe simultaneous inhibition of both alarmins can provide greater therapeutic benefit than targeting either target alone. This program is currently in lead optimization with the goal of selecting a bispecific development candidate in the second quarter of 2026.</w:t>
      </w:r>
    </w:p>
    <w:p>
      <w:pPr>
        <w:spacing w:after="0" w:line="108" w:lineRule="exact"/>
        <w:rPr>
          <w:sz w:val="20"/>
          <w:szCs w:val="20"/>
          <w:color w:val="auto"/>
        </w:rPr>
      </w:pPr>
    </w:p>
    <w:p>
      <w:pPr>
        <w:ind w:left="620" w:right="739" w:firstLine="515"/>
        <w:spacing w:after="0" w:line="247" w:lineRule="auto"/>
        <w:rPr>
          <w:sz w:val="20"/>
          <w:szCs w:val="20"/>
          <w:color w:val="auto"/>
        </w:rPr>
      </w:pPr>
      <w:r>
        <w:rPr>
          <w:rFonts w:ascii="Arial" w:cs="Arial" w:eastAsia="Arial" w:hAnsi="Arial"/>
          <w:sz w:val="14"/>
          <w:szCs w:val="14"/>
          <w:color w:val="181717"/>
        </w:rPr>
        <w:t>We are also developing a small-molecule scaffolding inhibitor of IRAK4. IRAK4 is a scaffolding protein in the myddosome, a key node in the immune system where multiple upstream activators converge to initiate activation of multiple downstream inflammatory pathways. Existing approaches, including both IRAK4 kinase inhibitors and IRAK4 degraders, are insufficient to block the ability of IRAK1 or IRAK2 to scaffold with IRAK4, which leads to their inability to block cytokine production across cell types. Therefore, we have chosen to target the scaffolding function of IRAK4, which we believe can provide maximal inhibition of cytokines across disease relevant cell types. The program is currently in lead optimization.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8" w:name="page9"/>
    <w:bookmarkEnd w:id="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497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33975" cy="649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20" w:right="839" w:firstLine="515"/>
        <w:spacing w:after="0" w:line="248" w:lineRule="auto"/>
        <w:rPr>
          <w:sz w:val="20"/>
          <w:szCs w:val="20"/>
          <w:color w:val="auto"/>
        </w:rPr>
      </w:pPr>
      <w:r>
        <w:rPr>
          <w:rFonts w:ascii="Arial" w:cs="Arial" w:eastAsia="Arial" w:hAnsi="Arial"/>
          <w:sz w:val="14"/>
          <w:szCs w:val="14"/>
          <w:color w:val="181717"/>
        </w:rPr>
        <w:t>In collaboration with Terray, we are developing a small-molecule inhibitor of IRF5, a transcription factor that regulates multiple proinflammatory signaling pathways involved in autoimmune disease. IRF5 controls the production of inflammatory cytokines and chemokines, type I interferons, and expansion or survival of pathogenic B cells, and therefore plays an important role in autoimmunity. We believe IRF5 inhibition represents a complementary strategy to target the interferon pathway alongside our wholly owned SLC15A4 inhibitor as different diseases may benefit from broader or more selective inhibition. The program is currently in lead optimization.</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Our Strategy</w:t>
      </w:r>
    </w:p>
    <w:p>
      <w:pPr>
        <w:spacing w:after="0" w:line="86" w:lineRule="exact"/>
        <w:rPr>
          <w:sz w:val="20"/>
          <w:szCs w:val="20"/>
          <w:color w:val="auto"/>
        </w:rPr>
      </w:pPr>
    </w:p>
    <w:p>
      <w:pPr>
        <w:ind w:left="620" w:right="679" w:firstLine="438"/>
        <w:spacing w:after="0" w:line="254" w:lineRule="auto"/>
        <w:rPr>
          <w:sz w:val="20"/>
          <w:szCs w:val="20"/>
          <w:color w:val="auto"/>
        </w:rPr>
      </w:pPr>
      <w:r>
        <w:rPr>
          <w:rFonts w:ascii="Arial" w:cs="Arial" w:eastAsia="Arial" w:hAnsi="Arial"/>
          <w:sz w:val="14"/>
          <w:szCs w:val="14"/>
          <w:color w:val="auto"/>
        </w:rPr>
        <w:t>Our goal is to continue building a differentiated, global biopharmaceutical company by discovering, developing, and commercializing transformative medicines for underserved patient populations. We aim to be an industry leader in immunology and are advancing a diversified portfolio of programs with the intention of efficiently delivering safe and effective medicines to patients.</w:t>
      </w:r>
    </w:p>
    <w:p>
      <w:pPr>
        <w:spacing w:after="0" w:line="4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The key elements of our strategy include:</w:t>
      </w:r>
    </w:p>
    <w:p>
      <w:pPr>
        <w:spacing w:after="0" w:line="86" w:lineRule="exact"/>
        <w:rPr>
          <w:sz w:val="20"/>
          <w:szCs w:val="20"/>
          <w:color w:val="auto"/>
        </w:rPr>
      </w:pPr>
    </w:p>
    <w:p>
      <w:pPr>
        <w:ind w:left="1220" w:right="1019" w:hanging="150"/>
        <w:spacing w:after="0" w:line="281" w:lineRule="auto"/>
        <w:tabs>
          <w:tab w:leader="none" w:pos="12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Advance our RIPK2 scaffolding inhibitor, OD-001, to deliver a potentially transformative therapy for patients suffering from IBD.</w:t>
      </w:r>
    </w:p>
    <w:p>
      <w:pPr>
        <w:spacing w:after="0" w:line="30" w:lineRule="exact"/>
        <w:rPr>
          <w:rFonts w:ascii="Times New Roman" w:cs="Times New Roman" w:eastAsia="Times New Roman" w:hAnsi="Times New Roman"/>
          <w:sz w:val="14"/>
          <w:szCs w:val="14"/>
          <w:color w:val="auto"/>
        </w:rPr>
      </w:pPr>
    </w:p>
    <w:p>
      <w:pPr>
        <w:ind w:left="1220" w:right="999" w:hanging="150"/>
        <w:spacing w:after="0" w:line="281" w:lineRule="auto"/>
        <w:tabs>
          <w:tab w:leader="none" w:pos="12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Advance our SLC15A4 inhibitor, OD-002, into clinical development and assess its potential benefit across a range of autoimmune and inflammatory diseases.</w:t>
      </w:r>
    </w:p>
    <w:p>
      <w:pPr>
        <w:spacing w:after="0" w:line="30" w:lineRule="exact"/>
        <w:rPr>
          <w:rFonts w:ascii="Times New Roman" w:cs="Times New Roman" w:eastAsia="Times New Roman" w:hAnsi="Times New Roman"/>
          <w:sz w:val="14"/>
          <w:szCs w:val="14"/>
          <w:color w:val="auto"/>
        </w:rPr>
      </w:pPr>
    </w:p>
    <w:p>
      <w:pPr>
        <w:ind w:left="1220" w:hanging="150"/>
        <w:spacing w:after="0"/>
        <w:tabs>
          <w:tab w:leader="none" w:pos="12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Invest in our early-stage pipeline to potentially enable a new clinical entry every 12-18 months.</w:t>
      </w:r>
    </w:p>
    <w:p>
      <w:pPr>
        <w:spacing w:after="0" w:line="96" w:lineRule="exact"/>
        <w:rPr>
          <w:rFonts w:ascii="Times New Roman" w:cs="Times New Roman" w:eastAsia="Times New Roman" w:hAnsi="Times New Roman"/>
          <w:sz w:val="14"/>
          <w:szCs w:val="14"/>
          <w:color w:val="auto"/>
        </w:rPr>
      </w:pPr>
    </w:p>
    <w:p>
      <w:pPr>
        <w:ind w:left="1220" w:hanging="150"/>
        <w:spacing w:after="0"/>
        <w:tabs>
          <w:tab w:leader="none" w:pos="12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Execute on our existing, and pursue additional, collaborations.</w:t>
      </w:r>
    </w:p>
    <w:p>
      <w:pPr>
        <w:spacing w:after="0" w:line="96" w:lineRule="exact"/>
        <w:rPr>
          <w:rFonts w:ascii="Times New Roman" w:cs="Times New Roman" w:eastAsia="Times New Roman" w:hAnsi="Times New Roman"/>
          <w:sz w:val="14"/>
          <w:szCs w:val="14"/>
          <w:color w:val="auto"/>
        </w:rPr>
      </w:pPr>
    </w:p>
    <w:p>
      <w:pPr>
        <w:ind w:left="1220" w:hanging="150"/>
        <w:spacing w:after="0"/>
        <w:tabs>
          <w:tab w:leader="none" w:pos="12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Build our development capabilities to support advancement of candidates into late-stage development.</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Our Team and Company History</w:t>
      </w:r>
    </w:p>
    <w:p>
      <w:pPr>
        <w:spacing w:after="0" w:line="86" w:lineRule="exact"/>
        <w:rPr>
          <w:sz w:val="20"/>
          <w:szCs w:val="20"/>
          <w:color w:val="auto"/>
        </w:rPr>
      </w:pPr>
    </w:p>
    <w:p>
      <w:pPr>
        <w:ind w:left="620" w:right="659" w:firstLine="443"/>
        <w:spacing w:after="0" w:line="242" w:lineRule="auto"/>
        <w:rPr>
          <w:sz w:val="20"/>
          <w:szCs w:val="20"/>
          <w:color w:val="auto"/>
        </w:rPr>
      </w:pPr>
      <w:r>
        <w:rPr>
          <w:rFonts w:ascii="Arial" w:cs="Arial" w:eastAsia="Arial" w:hAnsi="Arial"/>
          <w:sz w:val="14"/>
          <w:szCs w:val="14"/>
          <w:color w:val="auto"/>
        </w:rPr>
        <w:t>We are led by Gary D. Glick, Ph.D., our founder, President and Chief Executive Officer, and Jeffrey M. Leiden, M.D., Ph.D., the Chair of our board of directors and the former President, Chief Executive Officer, and Chairman of the board and current Executive Chairman of Vertex Pharmaceuticals Incorporated, or Vertex. Prior to founding our company in 2021, Dr. Glick was the founder and Chief Executive Officer of Scorpion Therapeutics, Inc., or Scorpion, where he led the initiation and early discovery of several programs, including STX-478, a mutant-selective PI3K inhibitor. In early 2025, it was announced that Eli Lilly and Company had entered into a definitive agreement to acquire Scorpion for up to $ 2.5 billion in cash. Before Scorpion, Dr. Glick was the founder and Chief Executive Officer of IFM Therapeutics, LLC, or IFM, a company that was the first to target the NLRP3 inflammasome and stimulator of interferon genes, or STING. At IFM, Dr. Glick completed three sales of drug development programs, generating proceeds to date of $750 million. Subject to the achievement of various milestones, proceeds from those sales could reach more than $4.7 billion. Earlier in his career, as Chief Scientific Officer of Lycera Corporation, Dr. Glick successfully completed more than $600 million of program partnering transactions. Drs. Glick and Leiden lead our team of experienced drug hunters and developers with deep experience in identifying, developing, and commercializing medicines across indications and drug types.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and Vertex. The past performance by our management team and directors, including investments and transactions in which they have participated and businesses with which they have been associated, may not be indicative of future performance of an investment in us. Since our inception in 2021, we have raised an aggregate of approximately $726.0 million from over 30 investors.</w:t>
      </w:r>
    </w:p>
    <w:p>
      <w:pPr>
        <w:spacing w:after="0" w:line="30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Corporate Information</w:t>
      </w:r>
    </w:p>
    <w:p>
      <w:pPr>
        <w:spacing w:after="0" w:line="86" w:lineRule="exact"/>
        <w:rPr>
          <w:sz w:val="20"/>
          <w:szCs w:val="20"/>
          <w:color w:val="auto"/>
        </w:rPr>
      </w:pPr>
    </w:p>
    <w:p>
      <w:pPr>
        <w:ind w:left="620" w:right="739" w:firstLine="443"/>
        <w:spacing w:after="0" w:line="250" w:lineRule="auto"/>
        <w:rPr>
          <w:sz w:val="20"/>
          <w:szCs w:val="20"/>
          <w:color w:val="auto"/>
        </w:rPr>
      </w:pPr>
      <w:r>
        <w:rPr>
          <w:rFonts w:ascii="Arial" w:cs="Arial" w:eastAsia="Arial" w:hAnsi="Arial"/>
          <w:sz w:val="14"/>
          <w:szCs w:val="14"/>
          <w:color w:val="auto"/>
        </w:rPr>
        <w:t>We were incorporated in Delaware in April 2021. Our principal executive offices are located at 51 Sleeper Street, Suite 800, Boston, Massachusetts 02210, and our telephone number is (617) 865-9628. Our website address is https://odysseytx.com/.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Risk Factor Summary</w:t>
      </w:r>
    </w:p>
    <w:p>
      <w:pPr>
        <w:spacing w:after="0" w:line="86" w:lineRule="exact"/>
        <w:rPr>
          <w:sz w:val="20"/>
          <w:szCs w:val="20"/>
          <w:color w:val="auto"/>
        </w:rPr>
      </w:pPr>
    </w:p>
    <w:p>
      <w:pPr>
        <w:ind w:left="620" w:right="699" w:firstLine="443"/>
        <w:spacing w:after="0" w:line="282" w:lineRule="auto"/>
        <w:rPr>
          <w:sz w:val="20"/>
          <w:szCs w:val="20"/>
          <w:color w:val="auto"/>
        </w:rPr>
      </w:pPr>
      <w:r>
        <w:rPr>
          <w:rFonts w:ascii="Arial" w:cs="Arial" w:eastAsia="Arial" w:hAnsi="Arial"/>
          <w:sz w:val="14"/>
          <w:szCs w:val="14"/>
          <w:color w:val="auto"/>
        </w:rPr>
        <w:t>Investing in our common stock involves significant risks, including risks that may prevent us from achieving our business objectives or may adversely affect our business, financial condition, results of operations and prospects that you</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593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33975" cy="659320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0" w:right="779"/>
        <w:spacing w:after="0" w:line="254" w:lineRule="auto"/>
        <w:rPr>
          <w:sz w:val="20"/>
          <w:szCs w:val="20"/>
          <w:color w:val="auto"/>
        </w:rPr>
      </w:pPr>
      <w:r>
        <w:rPr>
          <w:rFonts w:ascii="Arial" w:cs="Arial" w:eastAsia="Arial" w:hAnsi="Arial"/>
          <w:sz w:val="14"/>
          <w:szCs w:val="14"/>
          <w:color w:val="auto"/>
        </w:rPr>
        <w:t>should consider before making a decision to invest in our common stock. These risks are discussed more fully under the section of this prospectus titled “</w:t>
      </w:r>
      <w:r>
        <w:rPr>
          <w:rFonts w:ascii="Arial" w:cs="Arial" w:eastAsia="Arial" w:hAnsi="Arial"/>
          <w:sz w:val="14"/>
          <w:szCs w:val="14"/>
          <w:i w:val="1"/>
          <w:iCs w:val="1"/>
          <w:color w:val="auto"/>
        </w:rPr>
        <w:t>Risk Factors</w:t>
      </w:r>
      <w:r>
        <w:rPr>
          <w:rFonts w:ascii="Arial" w:cs="Arial" w:eastAsia="Arial" w:hAnsi="Arial"/>
          <w:sz w:val="14"/>
          <w:szCs w:val="14"/>
          <w:color w:val="auto"/>
        </w:rPr>
        <w:t>.” You should carefully consider all the information in this prospectus, including under “</w:t>
      </w:r>
      <w:r>
        <w:rPr>
          <w:rFonts w:ascii="Arial" w:cs="Arial" w:eastAsia="Arial" w:hAnsi="Arial"/>
          <w:sz w:val="14"/>
          <w:szCs w:val="14"/>
          <w:i w:val="1"/>
          <w:iCs w:val="1"/>
          <w:color w:val="auto"/>
        </w:rPr>
        <w:t>Risk Factors</w:t>
      </w:r>
      <w:r>
        <w:rPr>
          <w:rFonts w:ascii="Arial" w:cs="Arial" w:eastAsia="Arial" w:hAnsi="Arial"/>
          <w:sz w:val="14"/>
          <w:szCs w:val="14"/>
          <w:color w:val="auto"/>
        </w:rPr>
        <w:t>,” before making an investment decision. These risks include, but are not limited to, the following:</w:t>
      </w:r>
    </w:p>
    <w:p>
      <w:pPr>
        <w:spacing w:after="0" w:line="49" w:lineRule="exact"/>
        <w:rPr>
          <w:sz w:val="20"/>
          <w:szCs w:val="20"/>
          <w:color w:val="auto"/>
        </w:rPr>
      </w:pPr>
    </w:p>
    <w:p>
      <w:pPr>
        <w:ind w:left="1220" w:right="979" w:hanging="150"/>
        <w:spacing w:after="0" w:line="260"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We are a clinical-stage biotechnology company with a limited operating history and a history of incurring substantial net losses, have no products approved for commercial sale, have never generated revenue from product sales and may never be profitable.</w:t>
      </w:r>
    </w:p>
    <w:p>
      <w:pPr>
        <w:spacing w:after="0" w:line="45" w:lineRule="exact"/>
        <w:rPr>
          <w:rFonts w:ascii="Times New Roman" w:cs="Times New Roman" w:eastAsia="Times New Roman" w:hAnsi="Times New Roman"/>
          <w:sz w:val="14"/>
          <w:szCs w:val="14"/>
          <w:color w:val="auto"/>
        </w:rPr>
      </w:pPr>
    </w:p>
    <w:p>
      <w:pPr>
        <w:ind w:left="1220" w:right="659" w:hanging="150"/>
        <w:spacing w:after="0" w:line="260"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Even if this offering is successful, 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45" w:lineRule="exact"/>
        <w:rPr>
          <w:rFonts w:ascii="Times New Roman" w:cs="Times New Roman" w:eastAsia="Times New Roman" w:hAnsi="Times New Roman"/>
          <w:sz w:val="14"/>
          <w:szCs w:val="14"/>
          <w:color w:val="auto"/>
        </w:rPr>
      </w:pPr>
    </w:p>
    <w:p>
      <w:pPr>
        <w:ind w:left="1220" w:right="679" w:hanging="150"/>
        <w:spacing w:after="0" w:line="250"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52" w:lineRule="exact"/>
        <w:rPr>
          <w:rFonts w:ascii="Times New Roman" w:cs="Times New Roman" w:eastAsia="Times New Roman" w:hAnsi="Times New Roman"/>
          <w:sz w:val="14"/>
          <w:szCs w:val="14"/>
          <w:color w:val="auto"/>
        </w:rPr>
      </w:pPr>
    </w:p>
    <w:p>
      <w:pPr>
        <w:ind w:left="1220" w:right="859" w:hanging="150"/>
        <w:spacing w:after="0" w:line="281"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Our future success depends on our ability to retain and to continue to receive adequate attention from our key leaders, as well as on our ability to attract, retain and motivate qualified personnel.</w:t>
      </w:r>
    </w:p>
    <w:p>
      <w:pPr>
        <w:spacing w:after="0" w:line="30" w:lineRule="exact"/>
        <w:rPr>
          <w:rFonts w:ascii="Times New Roman" w:cs="Times New Roman" w:eastAsia="Times New Roman" w:hAnsi="Times New Roman"/>
          <w:sz w:val="14"/>
          <w:szCs w:val="14"/>
          <w:color w:val="auto"/>
        </w:rPr>
      </w:pPr>
    </w:p>
    <w:p>
      <w:pPr>
        <w:ind w:left="1220" w:right="879" w:hanging="150"/>
        <w:spacing w:after="0" w:line="260"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Our two most advanced product candidates are currently in a phase 2a clinical trial and IND-enabling studies, respectively. We have never successfully completed any large-scale or pivotal clinical trials with our product candidates, and we may be unable to do so for any product candidates we develop.</w:t>
      </w:r>
    </w:p>
    <w:p>
      <w:pPr>
        <w:spacing w:after="0" w:line="45" w:lineRule="exact"/>
        <w:rPr>
          <w:rFonts w:ascii="Times New Roman" w:cs="Times New Roman" w:eastAsia="Times New Roman" w:hAnsi="Times New Roman"/>
          <w:sz w:val="14"/>
          <w:szCs w:val="14"/>
          <w:color w:val="auto"/>
        </w:rPr>
      </w:pPr>
    </w:p>
    <w:p>
      <w:pPr>
        <w:ind w:left="1220" w:right="639" w:hanging="150"/>
        <w:spacing w:after="0" w:line="254"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p>
    <w:p>
      <w:pPr>
        <w:spacing w:after="0" w:line="48" w:lineRule="exact"/>
        <w:rPr>
          <w:rFonts w:ascii="Times New Roman" w:cs="Times New Roman" w:eastAsia="Times New Roman" w:hAnsi="Times New Roman"/>
          <w:sz w:val="14"/>
          <w:szCs w:val="14"/>
          <w:color w:val="auto"/>
        </w:rPr>
      </w:pPr>
    </w:p>
    <w:p>
      <w:pPr>
        <w:ind w:left="1220" w:right="879" w:hanging="150"/>
        <w:spacing w:after="0" w:line="281"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We face substantial competition, which may result in others discovering, developing or commercializing drugs before or more successfully than we do.</w:t>
      </w:r>
    </w:p>
    <w:p>
      <w:pPr>
        <w:spacing w:after="0" w:line="30" w:lineRule="exact"/>
        <w:rPr>
          <w:rFonts w:ascii="Times New Roman" w:cs="Times New Roman" w:eastAsia="Times New Roman" w:hAnsi="Times New Roman"/>
          <w:sz w:val="14"/>
          <w:szCs w:val="14"/>
          <w:color w:val="auto"/>
        </w:rPr>
      </w:pPr>
    </w:p>
    <w:p>
      <w:pPr>
        <w:ind w:left="1220" w:right="739" w:hanging="150"/>
        <w:spacing w:after="0" w:line="250"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2" w:lineRule="exact"/>
        <w:rPr>
          <w:rFonts w:ascii="Times New Roman" w:cs="Times New Roman" w:eastAsia="Times New Roman" w:hAnsi="Times New Roman"/>
          <w:sz w:val="14"/>
          <w:szCs w:val="14"/>
          <w:color w:val="auto"/>
        </w:rPr>
      </w:pPr>
    </w:p>
    <w:p>
      <w:pPr>
        <w:ind w:left="1220" w:right="659" w:hanging="150"/>
        <w:spacing w:after="0" w:line="250"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52" w:lineRule="exact"/>
        <w:rPr>
          <w:rFonts w:ascii="Times New Roman" w:cs="Times New Roman" w:eastAsia="Times New Roman" w:hAnsi="Times New Roman"/>
          <w:sz w:val="14"/>
          <w:szCs w:val="14"/>
          <w:color w:val="auto"/>
        </w:rPr>
      </w:pPr>
    </w:p>
    <w:p>
      <w:pPr>
        <w:ind w:left="1220" w:right="659" w:hanging="150"/>
        <w:spacing w:after="0" w:line="254"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spacing w:after="0" w:line="48" w:lineRule="exact"/>
        <w:rPr>
          <w:rFonts w:ascii="Times New Roman" w:cs="Times New Roman" w:eastAsia="Times New Roman" w:hAnsi="Times New Roman"/>
          <w:sz w:val="14"/>
          <w:szCs w:val="14"/>
          <w:color w:val="auto"/>
        </w:rPr>
      </w:pPr>
    </w:p>
    <w:p>
      <w:pPr>
        <w:ind w:left="1220" w:right="799" w:hanging="150"/>
        <w:spacing w:after="0" w:line="250"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We recently remediated a material weakness in our internal control over financial reporting. If we experience additional material weaknesses in the future or otherwise fail to maintain effective internal control over financial reporting or disclosure control in the future, we may be unable to produce accurate and timely financial statements or detect acts of fraud, which may adversely affect investor confidence in us, and, as a result, the value of our common stock, or result in delisting, sanctions or other penalties that could harm our business.</w:t>
      </w:r>
    </w:p>
    <w:p>
      <w:pPr>
        <w:spacing w:after="0" w:line="52" w:lineRule="exact"/>
        <w:rPr>
          <w:rFonts w:ascii="Times New Roman" w:cs="Times New Roman" w:eastAsia="Times New Roman" w:hAnsi="Times New Roman"/>
          <w:sz w:val="14"/>
          <w:szCs w:val="14"/>
          <w:color w:val="auto"/>
        </w:rPr>
      </w:pPr>
    </w:p>
    <w:p>
      <w:pPr>
        <w:ind w:left="1220" w:right="939" w:hanging="150"/>
        <w:spacing w:after="0" w:line="281" w:lineRule="auto"/>
        <w:tabs>
          <w:tab w:leader="none" w:pos="12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An active and liquid trading market for our common stock may not develop and you may not be able to resell your shares of common stock at or above the initial public offering price, if at all.</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Implications of Being an Emerging Growth Company and a Smaller Reporting Company</w:t>
      </w:r>
    </w:p>
    <w:p>
      <w:pPr>
        <w:spacing w:after="0" w:line="86" w:lineRule="exact"/>
        <w:rPr>
          <w:sz w:val="20"/>
          <w:szCs w:val="20"/>
          <w:color w:val="auto"/>
        </w:rPr>
      </w:pPr>
    </w:p>
    <w:p>
      <w:pPr>
        <w:ind w:left="620" w:right="719" w:firstLine="443"/>
        <w:spacing w:after="0" w:line="261"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0" w:name="page11"/>
    <w:bookmarkEnd w:id="1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513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33975" cy="51339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0" w:right="679"/>
        <w:spacing w:after="0" w:line="242" w:lineRule="auto"/>
        <w:rPr>
          <w:sz w:val="20"/>
          <w:szCs w:val="20"/>
          <w:color w:val="auto"/>
        </w:rPr>
      </w:pPr>
      <w:r>
        <w:rPr>
          <w:rFonts w:ascii="Arial" w:cs="Arial" w:eastAsia="Arial" w:hAnsi="Arial"/>
          <w:sz w:val="14"/>
          <w:szCs w:val="14"/>
          <w:color w:val="auto"/>
        </w:rPr>
        <w:t>are not emerging growth companies, including relief from the auditor attestation requirements of Section 404 of the Sarbanes-Oxley Act of 2002, as amended, or the Sarbanes-Oxley Act,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are also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completion of this offering, (ii) the last day of the year in which we have total annual gross revenue of at least $1.235 billion, (iii) the last day of the year in which we are deemed to be a “large accelerated filer” as defined in Rule 12b-2 under the Securities Exchange Act of 1934, as amended, or the Exchange Act, which would occur if the market value of our common stock and non-voting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65" w:lineRule="exact"/>
        <w:rPr>
          <w:sz w:val="20"/>
          <w:szCs w:val="20"/>
          <w:color w:val="auto"/>
        </w:rPr>
      </w:pPr>
    </w:p>
    <w:p>
      <w:pPr>
        <w:ind w:left="620" w:right="659" w:firstLine="443"/>
        <w:spacing w:after="0" w:line="246" w:lineRule="auto"/>
        <w:rPr>
          <w:sz w:val="20"/>
          <w:szCs w:val="20"/>
          <w:color w:val="auto"/>
        </w:rPr>
      </w:pPr>
      <w:r>
        <w:rPr>
          <w:rFonts w:ascii="Arial" w:cs="Arial" w:eastAsia="Arial" w:hAnsi="Arial"/>
          <w:sz w:val="14"/>
          <w:szCs w:val="14"/>
          <w:color w:val="auto"/>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 We may choose to early adopt any new or revised accounting standards whenever such early adoption is permitted for private companies.</w:t>
      </w:r>
    </w:p>
    <w:p>
      <w:pPr>
        <w:spacing w:after="0" w:line="54" w:lineRule="exact"/>
        <w:rPr>
          <w:sz w:val="20"/>
          <w:szCs w:val="20"/>
          <w:color w:val="auto"/>
        </w:rPr>
      </w:pPr>
    </w:p>
    <w:p>
      <w:pPr>
        <w:ind w:left="620" w:right="659" w:firstLine="443"/>
        <w:spacing w:after="0" w:line="245" w:lineRule="auto"/>
        <w:rPr>
          <w:sz w:val="20"/>
          <w:szCs w:val="20"/>
          <w:color w:val="auto"/>
        </w:rPr>
      </w:pPr>
      <w:r>
        <w:rPr>
          <w:rFonts w:ascii="Arial" w:cs="Arial" w:eastAsia="Arial" w:hAnsi="Arial"/>
          <w:sz w:val="14"/>
          <w:szCs w:val="14"/>
          <w:color w:val="auto"/>
        </w:rPr>
        <w:t>We are also a “smaller reporting company” as defined in the Exchange Act.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Trademarks and Service Marks</w:t>
      </w:r>
    </w:p>
    <w:p>
      <w:pPr>
        <w:spacing w:after="0" w:line="86" w:lineRule="exact"/>
        <w:rPr>
          <w:sz w:val="20"/>
          <w:szCs w:val="20"/>
          <w:color w:val="auto"/>
        </w:rPr>
      </w:pPr>
    </w:p>
    <w:p>
      <w:pPr>
        <w:ind w:left="620" w:right="699" w:firstLine="443"/>
        <w:spacing w:after="0" w:line="236" w:lineRule="auto"/>
        <w:rPr>
          <w:sz w:val="20"/>
          <w:szCs w:val="20"/>
          <w:color w:val="auto"/>
        </w:rPr>
      </w:pPr>
      <w:r>
        <w:rPr>
          <w:rFonts w:ascii="Arial" w:cs="Arial" w:eastAsia="Arial" w:hAnsi="Arial"/>
          <w:sz w:val="14"/>
          <w:szCs w:val="14"/>
          <w:color w:val="auto"/>
        </w:rPr>
        <w:t xml:space="preserve">This prospectus contains references to our trademarks and service marks. Solely for convenience, trademarks and trade names referred to in this prospectus, including logos, artwork and other visual displays, may appear without the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or TM symbols, but such references are not intended to indicate in any way that we will not assert, to the fullest extent under applicable law, our rights or the rights of the applicable licensor to these trademarks and trade names. This prospectus also contains trademarks, service marks and trade names of third parties, which are the property of their respective owners. We do not intend our use or display of other entities’ trade names, trademarks or service marks to imply a relationship with, or endorsement or sponsorship of us by, any other entity.</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6095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33975" cy="609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THE OFFERING</w:t>
      </w:r>
    </w:p>
    <w:p>
      <w:pPr>
        <w:spacing w:after="0" w:line="193" w:lineRule="exact"/>
        <w:rPr>
          <w:sz w:val="20"/>
          <w:szCs w:val="20"/>
          <w:color w:val="auto"/>
        </w:rPr>
      </w:pPr>
    </w:p>
    <w:p>
      <w:pPr>
        <w:ind w:left="620"/>
        <w:spacing w:after="0"/>
        <w:tabs>
          <w:tab w:leader="none" w:pos="4640" w:val="left"/>
        </w:tabs>
        <w:rPr>
          <w:sz w:val="20"/>
          <w:szCs w:val="20"/>
          <w:color w:val="auto"/>
        </w:rPr>
      </w:pPr>
      <w:r>
        <w:rPr>
          <w:rFonts w:ascii="Arial" w:cs="Arial" w:eastAsia="Arial" w:hAnsi="Arial"/>
          <w:sz w:val="14"/>
          <w:szCs w:val="14"/>
          <w:color w:val="auto"/>
        </w:rPr>
        <w:t>Common stock offered by us</w:t>
      </w:r>
      <w:r>
        <w:rPr>
          <w:sz w:val="20"/>
          <w:szCs w:val="20"/>
          <w:color w:val="auto"/>
        </w:rPr>
        <w:tab/>
      </w:r>
      <w:r>
        <w:rPr>
          <w:rFonts w:ascii="Arial" w:cs="Arial" w:eastAsia="Arial" w:hAnsi="Arial"/>
          <w:sz w:val="14"/>
          <w:szCs w:val="14"/>
          <w:color w:val="auto"/>
        </w:rPr>
        <w:t>shares.</w:t>
      </w:r>
    </w:p>
    <w:p>
      <w:pPr>
        <w:sectPr>
          <w:pgSz w:w="11900" w:h="16838" w:orient="portrait"/>
          <w:cols w:equalWidth="0" w:num="1">
            <w:col w:w="9019"/>
          </w:cols>
          <w:pgMar w:left="1440" w:top="123" w:right="1440" w:bottom="1440" w:gutter="0" w:footer="0" w:header="0"/>
        </w:sectPr>
      </w:pPr>
    </w:p>
    <w:p>
      <w:pPr>
        <w:spacing w:after="0" w:line="54" w:lineRule="exact"/>
        <w:rPr>
          <w:sz w:val="20"/>
          <w:szCs w:val="20"/>
          <w:color w:val="auto"/>
        </w:rPr>
      </w:pPr>
    </w:p>
    <w:p>
      <w:pPr>
        <w:ind w:left="740" w:hanging="118"/>
        <w:spacing w:after="0" w:line="282" w:lineRule="auto"/>
        <w:rPr>
          <w:sz w:val="20"/>
          <w:szCs w:val="20"/>
          <w:color w:val="auto"/>
        </w:rPr>
      </w:pPr>
      <w:r>
        <w:rPr>
          <w:rFonts w:ascii="Arial" w:cs="Arial" w:eastAsia="Arial" w:hAnsi="Arial"/>
          <w:sz w:val="14"/>
          <w:szCs w:val="14"/>
          <w:color w:val="auto"/>
        </w:rPr>
        <w:t>Common stock to be outstanding immediately after this offering</w:t>
      </w:r>
    </w:p>
    <w:p>
      <w:pPr>
        <w:spacing w:after="0" w:line="159" w:lineRule="exact"/>
        <w:rPr>
          <w:sz w:val="20"/>
          <w:szCs w:val="20"/>
          <w:color w:val="auto"/>
        </w:rPr>
      </w:pPr>
    </w:p>
    <w:p>
      <w:pPr>
        <w:ind w:left="740" w:right="40" w:hanging="118"/>
        <w:spacing w:after="0" w:line="282" w:lineRule="auto"/>
        <w:rPr>
          <w:sz w:val="20"/>
          <w:szCs w:val="20"/>
          <w:color w:val="auto"/>
        </w:rPr>
      </w:pPr>
      <w:r>
        <w:rPr>
          <w:rFonts w:ascii="Arial" w:cs="Arial" w:eastAsia="Arial" w:hAnsi="Arial"/>
          <w:sz w:val="14"/>
          <w:szCs w:val="14"/>
          <w:color w:val="auto"/>
        </w:rPr>
        <w:t>Option to purchase additional shares of common stock offered in this offering</w:t>
      </w:r>
    </w:p>
    <w:p>
      <w:pPr>
        <w:spacing w:after="0" w:line="32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Dividend policy</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Proposed Nasdaq trading symbol</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959" w:firstLine="159"/>
        <w:spacing w:after="0" w:line="282" w:lineRule="auto"/>
        <w:rPr>
          <w:sz w:val="20"/>
          <w:szCs w:val="20"/>
          <w:color w:val="auto"/>
        </w:rPr>
      </w:pPr>
      <w:r>
        <w:rPr>
          <w:rFonts w:ascii="Arial" w:cs="Arial" w:eastAsia="Arial" w:hAnsi="Arial"/>
          <w:sz w:val="14"/>
          <w:szCs w:val="14"/>
          <w:color w:val="auto"/>
        </w:rPr>
        <w:t>shares (or        shares if the underwriters exercise their option to purchase additional shares in full).</w:t>
      </w:r>
    </w:p>
    <w:p>
      <w:pPr>
        <w:spacing w:after="0" w:line="159" w:lineRule="exact"/>
        <w:rPr>
          <w:sz w:val="20"/>
          <w:szCs w:val="20"/>
          <w:color w:val="auto"/>
        </w:rPr>
      </w:pPr>
    </w:p>
    <w:p>
      <w:pPr>
        <w:ind w:right="719"/>
        <w:spacing w:after="0" w:line="261" w:lineRule="auto"/>
        <w:rPr>
          <w:sz w:val="20"/>
          <w:szCs w:val="20"/>
          <w:color w:val="auto"/>
        </w:rPr>
      </w:pPr>
      <w:r>
        <w:rPr>
          <w:rFonts w:ascii="Arial" w:cs="Arial" w:eastAsia="Arial" w:hAnsi="Arial"/>
          <w:sz w:val="14"/>
          <w:szCs w:val="14"/>
          <w:color w:val="auto"/>
        </w:rPr>
        <w:t>We have granted the underwriters an option, exercisable for 30 days from the date of this prospectus, to purchase up to        additional shares from us.</w:t>
      </w:r>
    </w:p>
    <w:p>
      <w:pPr>
        <w:spacing w:after="0" w:line="173" w:lineRule="exact"/>
        <w:rPr>
          <w:sz w:val="20"/>
          <w:szCs w:val="20"/>
          <w:color w:val="auto"/>
        </w:rPr>
      </w:pPr>
    </w:p>
    <w:p>
      <w:pPr>
        <w:ind w:right="799"/>
        <w:spacing w:after="0" w:line="247" w:lineRule="auto"/>
        <w:rPr>
          <w:sz w:val="20"/>
          <w:szCs w:val="20"/>
          <w:color w:val="auto"/>
        </w:rPr>
      </w:pPr>
      <w:r>
        <w:rPr>
          <w:rFonts w:ascii="Arial" w:cs="Arial" w:eastAsia="Arial" w:hAnsi="Arial"/>
          <w:sz w:val="14"/>
          <w:szCs w:val="14"/>
          <w:color w:val="auto"/>
        </w:rPr>
        <w:t xml:space="preserve">We estimate that the net proceeds to us from the sale of shares of our common stock in this offering will be approximately $        million (or approximately $       </w:t>
      </w:r>
    </w:p>
    <w:p>
      <w:pPr>
        <w:ind w:right="659"/>
        <w:spacing w:after="0" w:line="243" w:lineRule="auto"/>
        <w:rPr>
          <w:sz w:val="20"/>
          <w:szCs w:val="20"/>
          <w:color w:val="auto"/>
        </w:rPr>
      </w:pPr>
      <w:r>
        <w:rPr>
          <w:rFonts w:ascii="Arial" w:cs="Arial" w:eastAsia="Arial" w:hAnsi="Arial"/>
          <w:sz w:val="14"/>
          <w:szCs w:val="14"/>
          <w:color w:val="auto"/>
        </w:rPr>
        <w:t>million if the underwriters’ option to purchase additional shares is exercised in full) based upon the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We intend to use the net proceeds to us from this offering to</w:t>
      </w:r>
    </w:p>
    <w:p>
      <w:pPr>
        <w:spacing w:after="0" w:line="14" w:lineRule="exact"/>
        <w:rPr>
          <w:sz w:val="20"/>
          <w:szCs w:val="20"/>
          <w:color w:val="auto"/>
        </w:rPr>
      </w:pPr>
    </w:p>
    <w:p>
      <w:pPr>
        <w:ind w:right="679" w:firstLine="4"/>
        <w:spacing w:after="0" w:line="242" w:lineRule="auto"/>
        <w:tabs>
          <w:tab w:leader="none" w:pos="167" w:val="left"/>
        </w:tabs>
        <w:numPr>
          <w:ilvl w:val="0"/>
          <w:numId w:val="5"/>
        </w:numPr>
        <w:rPr>
          <w:rFonts w:ascii="Arial" w:cs="Arial" w:eastAsia="Arial" w:hAnsi="Arial"/>
          <w:sz w:val="14"/>
          <w:szCs w:val="14"/>
          <w:color w:val="auto"/>
        </w:rPr>
      </w:pPr>
      <w:r>
        <w:rPr>
          <w:rFonts w:ascii="Arial" w:cs="Arial" w:eastAsia="Arial" w:hAnsi="Arial"/>
          <w:sz w:val="14"/>
          <w:szCs w:val="14"/>
          <w:color w:val="auto"/>
        </w:rPr>
        <w:t>advance the clinical development of OD-001, our most advanced product candidate, through 12-week induction readouts from our planned phase 2a combination trial and phase 2b monotherapy trial in ulcerative colitis, (ii) advance our SLC15A4 program through IND-enabling activities and our planned phase 1/2a clinical trial and (iii) fund additional discovery, preclinical and clinical activities for disclosed or future programs, enabling capabilities and for general corporate purposes, working capital and other capital expenditures. See the section of this prospectus titled “</w:t>
      </w:r>
      <w:r>
        <w:rPr>
          <w:rFonts w:ascii="Arial" w:cs="Arial" w:eastAsia="Arial" w:hAnsi="Arial"/>
          <w:sz w:val="14"/>
          <w:szCs w:val="14"/>
          <w:i w:val="1"/>
          <w:iCs w:val="1"/>
          <w:color w:val="auto"/>
        </w:rPr>
        <w:t>Use</w:t>
      </w:r>
      <w:r>
        <w:rPr>
          <w:rFonts w:ascii="Arial" w:cs="Arial" w:eastAsia="Arial" w:hAnsi="Arial"/>
          <w:sz w:val="14"/>
          <w:szCs w:val="14"/>
          <w:color w:val="auto"/>
        </w:rPr>
        <w:t xml:space="preserve"> </w:t>
      </w:r>
      <w:r>
        <w:rPr>
          <w:rFonts w:ascii="Arial" w:cs="Arial" w:eastAsia="Arial" w:hAnsi="Arial"/>
          <w:sz w:val="14"/>
          <w:szCs w:val="14"/>
          <w:i w:val="1"/>
          <w:iCs w:val="1"/>
          <w:color w:val="auto"/>
        </w:rPr>
        <w:t>of Proceeds</w:t>
      </w:r>
      <w:r>
        <w:rPr>
          <w:rFonts w:ascii="Arial" w:cs="Arial" w:eastAsia="Arial" w:hAnsi="Arial"/>
          <w:sz w:val="14"/>
          <w:szCs w:val="14"/>
          <w:color w:val="auto"/>
        </w:rPr>
        <w:t>” for a more complete description of the intended</w:t>
      </w:r>
      <w:r>
        <w:rPr>
          <w:rFonts w:ascii="Arial" w:cs="Arial" w:eastAsia="Arial" w:hAnsi="Arial"/>
          <w:sz w:val="14"/>
          <w:szCs w:val="14"/>
          <w:i w:val="1"/>
          <w:iCs w:val="1"/>
          <w:color w:val="auto"/>
        </w:rPr>
        <w:t xml:space="preserve"> </w:t>
      </w:r>
      <w:r>
        <w:rPr>
          <w:rFonts w:ascii="Arial" w:cs="Arial" w:eastAsia="Arial" w:hAnsi="Arial"/>
          <w:sz w:val="14"/>
          <w:szCs w:val="14"/>
          <w:color w:val="auto"/>
        </w:rPr>
        <w:t>use of proceeds from this offering.</w:t>
      </w:r>
    </w:p>
    <w:p>
      <w:pPr>
        <w:spacing w:after="0" w:line="186" w:lineRule="exact"/>
        <w:rPr>
          <w:sz w:val="20"/>
          <w:szCs w:val="20"/>
          <w:color w:val="auto"/>
        </w:rPr>
      </w:pPr>
    </w:p>
    <w:p>
      <w:pPr>
        <w:ind w:right="679"/>
        <w:spacing w:after="0" w:line="250" w:lineRule="auto"/>
        <w:rPr>
          <w:sz w:val="20"/>
          <w:szCs w:val="20"/>
          <w:color w:val="auto"/>
        </w:rPr>
      </w:pPr>
      <w:r>
        <w:rPr>
          <w:rFonts w:ascii="Arial" w:cs="Arial" w:eastAsia="Arial" w:hAnsi="Arial"/>
          <w:sz w:val="14"/>
          <w:szCs w:val="14"/>
          <w:color w:val="auto"/>
        </w:rPr>
        <w:t>You should read the section of this prospectus titled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 and the other information included elsewhere in this</w:t>
      </w:r>
      <w:r>
        <w:rPr>
          <w:rFonts w:ascii="Arial" w:cs="Arial" w:eastAsia="Arial" w:hAnsi="Arial"/>
          <w:sz w:val="14"/>
          <w:szCs w:val="14"/>
          <w:i w:val="1"/>
          <w:iCs w:val="1"/>
          <w:color w:val="auto"/>
        </w:rPr>
        <w:t xml:space="preserve"> </w:t>
      </w:r>
      <w:r>
        <w:rPr>
          <w:rFonts w:ascii="Arial" w:cs="Arial" w:eastAsia="Arial" w:hAnsi="Arial"/>
          <w:sz w:val="14"/>
          <w:szCs w:val="14"/>
          <w:color w:val="auto"/>
        </w:rPr>
        <w:t>prospectus for a discussion of some of the risks and uncertainties you should carefully consider before deciding to invest in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We do not anticipate paying cash dividends.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“ODTX”</w:t>
      </w:r>
    </w:p>
    <w:p>
      <w:pPr>
        <w:spacing w:after="0" w:line="200" w:lineRule="exact"/>
        <w:rPr>
          <w:sz w:val="20"/>
          <w:szCs w:val="20"/>
          <w:color w:val="auto"/>
        </w:rPr>
      </w:pPr>
    </w:p>
    <w:p>
      <w:pPr>
        <w:sectPr>
          <w:pgSz w:w="11900" w:h="16838" w:orient="portrait"/>
          <w:cols w:equalWidth="0" w:num="2">
            <w:col w:w="4120" w:space="380"/>
            <w:col w:w="4519"/>
          </w:cols>
          <w:pgMar w:left="1440" w:top="123" w:right="1440" w:bottom="1440" w:gutter="0" w:footer="0" w:header="0"/>
          <w:type w:val="continuous"/>
        </w:sectPr>
      </w:pPr>
    </w:p>
    <w:p>
      <w:pPr>
        <w:spacing w:after="0" w:line="144" w:lineRule="exact"/>
        <w:rPr>
          <w:sz w:val="20"/>
          <w:szCs w:val="20"/>
          <w:color w:val="auto"/>
        </w:rPr>
      </w:pPr>
    </w:p>
    <w:p>
      <w:pPr>
        <w:ind w:left="620" w:right="699" w:firstLine="443"/>
        <w:spacing w:after="0" w:line="248" w:lineRule="auto"/>
        <w:rPr>
          <w:sz w:val="20"/>
          <w:szCs w:val="20"/>
          <w:color w:val="auto"/>
        </w:rPr>
      </w:pPr>
      <w:r>
        <w:rPr>
          <w:rFonts w:ascii="Arial" w:cs="Arial" w:eastAsia="Arial" w:hAnsi="Arial"/>
          <w:sz w:val="14"/>
          <w:szCs w:val="14"/>
          <w:color w:val="auto"/>
        </w:rPr>
        <w:t>The number of shares of our common stock to be outstanding after this offering is based on 294,461,725 shares of our common stock outstanding as of December 31, 2025, including 1,618,376 shares of unvested restricted common stock, after giving effect to (i) the conversion of all outstanding shares of our convertible preferred stock into an aggregate of 238,999,327 shares of common stock immediately prior to the closing of this offering, (ii) the automatic exercise of outstanding warrants issued in connection with our Series D Preferred Stock Financing, or the Common Stock Warrants, on a net exercise basis, into an aggregate of 32,142,070 shares of our common stock immediately prior to the closing of</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5597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33975" cy="559752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0" w:right="699"/>
        <w:spacing w:after="0" w:line="282" w:lineRule="auto"/>
        <w:rPr>
          <w:sz w:val="20"/>
          <w:szCs w:val="20"/>
          <w:color w:val="auto"/>
        </w:rPr>
      </w:pPr>
      <w:r>
        <w:rPr>
          <w:rFonts w:ascii="Arial" w:cs="Arial" w:eastAsia="Arial" w:hAnsi="Arial"/>
          <w:sz w:val="14"/>
          <w:szCs w:val="14"/>
          <w:color w:val="auto"/>
        </w:rPr>
        <w:t>this offering and (iii) the automatic conversion of all outstanding shares of our non-voting common stock into an aggregate of 81,240 shares of our common stock upon the closing of this offering, and excludes:</w:t>
      </w:r>
    </w:p>
    <w:p>
      <w:pPr>
        <w:spacing w:after="0" w:line="30" w:lineRule="exact"/>
        <w:rPr>
          <w:sz w:val="20"/>
          <w:szCs w:val="20"/>
          <w:color w:val="auto"/>
        </w:rPr>
      </w:pPr>
    </w:p>
    <w:p>
      <w:pPr>
        <w:ind w:left="1220" w:right="639" w:hanging="150"/>
        <w:spacing w:after="0" w:line="268" w:lineRule="auto"/>
        <w:tabs>
          <w:tab w:leader="none" w:pos="12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45,008,927 shares of our common stock issuable upon the exercise of stock options outstanding as of December 31, 2025 under our 2021 Equity Incentive Plan, as amended to date, or the 2021 Plan, at a weighted average exercise price of $0.51 per share;</w:t>
      </w:r>
    </w:p>
    <w:p>
      <w:pPr>
        <w:spacing w:after="0" w:line="39" w:lineRule="exact"/>
        <w:rPr>
          <w:rFonts w:ascii="Times New Roman" w:cs="Times New Roman" w:eastAsia="Times New Roman" w:hAnsi="Times New Roman"/>
          <w:sz w:val="14"/>
          <w:szCs w:val="14"/>
          <w:color w:val="auto"/>
        </w:rPr>
      </w:pPr>
    </w:p>
    <w:p>
      <w:pPr>
        <w:ind w:left="1220" w:right="699" w:hanging="150"/>
        <w:spacing w:after="0" w:line="260" w:lineRule="auto"/>
        <w:tabs>
          <w:tab w:leader="none" w:pos="12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9,258,555 shares of our common stock reserved for future issuance under the 2021 Plan as of December 31, 2025, which shares will cease to be available for issuance at the time our 2026 Long-Term Incentive Plan, or the 2026 Plan, becomes effective;</w:t>
      </w:r>
    </w:p>
    <w:p>
      <w:pPr>
        <w:spacing w:after="0" w:line="45" w:lineRule="exact"/>
        <w:rPr>
          <w:sz w:val="20"/>
          <w:szCs w:val="20"/>
          <w:color w:val="auto"/>
        </w:rPr>
      </w:pPr>
    </w:p>
    <w:p>
      <w:pPr>
        <w:ind w:left="1080"/>
        <w:spacing w:after="0"/>
        <w:tabs>
          <w:tab w:leader="none" w:pos="1200" w:val="left"/>
          <w:tab w:leader="none" w:pos="1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 xml:space="preserve">          </w:t>
        <w:tab/>
        <w:t>shares of our common stock reserved for future issuance under the 2026 Plan, which will become</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effective on the date immediately preceding the date on which our common stock is listed (or approved for</w:t>
      </w:r>
    </w:p>
    <w:p>
      <w:pPr>
        <w:ind w:left="1220"/>
        <w:spacing w:after="0"/>
        <w:rPr>
          <w:sz w:val="20"/>
          <w:szCs w:val="20"/>
          <w:color w:val="auto"/>
        </w:rPr>
      </w:pPr>
      <w:r>
        <w:rPr>
          <w:rFonts w:ascii="Arial" w:cs="Arial" w:eastAsia="Arial" w:hAnsi="Arial"/>
          <w:sz w:val="14"/>
          <w:szCs w:val="14"/>
          <w:color w:val="auto"/>
        </w:rPr>
        <w:t>listing) on Nasdaq, as well as any automatic increases in the number of shares of our common stock reserved for</w:t>
      </w:r>
    </w:p>
    <w:p>
      <w:pPr>
        <w:ind w:left="1220"/>
        <w:spacing w:after="0"/>
        <w:rPr>
          <w:sz w:val="20"/>
          <w:szCs w:val="20"/>
          <w:color w:val="auto"/>
        </w:rPr>
      </w:pPr>
      <w:r>
        <w:rPr>
          <w:rFonts w:ascii="Arial" w:cs="Arial" w:eastAsia="Arial" w:hAnsi="Arial"/>
          <w:sz w:val="14"/>
          <w:szCs w:val="14"/>
          <w:color w:val="auto"/>
        </w:rPr>
        <w:t>future issuance under the 2026 Plan and any shares underlying outstanding stock awards granted under the</w:t>
      </w:r>
    </w:p>
    <w:p>
      <w:pPr>
        <w:ind w:left="1220"/>
        <w:spacing w:after="0"/>
        <w:rPr>
          <w:sz w:val="20"/>
          <w:szCs w:val="20"/>
          <w:color w:val="auto"/>
        </w:rPr>
      </w:pPr>
      <w:r>
        <w:rPr>
          <w:rFonts w:ascii="Arial" w:cs="Arial" w:eastAsia="Arial" w:hAnsi="Arial"/>
          <w:sz w:val="14"/>
          <w:szCs w:val="14"/>
          <w:color w:val="auto"/>
        </w:rPr>
        <w:t>2021 Plan that expire or are repurchased, forfeited, cancelled or withheld, as more fully described in the section</w:t>
      </w:r>
    </w:p>
    <w:p>
      <w:pPr>
        <w:ind w:left="1220"/>
        <w:spacing w:after="0"/>
        <w:rPr>
          <w:sz w:val="20"/>
          <w:szCs w:val="20"/>
          <w:color w:val="auto"/>
        </w:rPr>
      </w:pPr>
      <w:r>
        <w:rPr>
          <w:rFonts w:ascii="Arial" w:cs="Arial" w:eastAsia="Arial" w:hAnsi="Arial"/>
          <w:sz w:val="14"/>
          <w:szCs w:val="14"/>
          <w:color w:val="auto"/>
        </w:rPr>
        <w:t>of this prospectus titled “</w:t>
      </w:r>
      <w:r>
        <w:rPr>
          <w:rFonts w:ascii="Arial" w:cs="Arial" w:eastAsia="Arial" w:hAnsi="Arial"/>
          <w:sz w:val="14"/>
          <w:szCs w:val="14"/>
          <w:i w:val="1"/>
          <w:iCs w:val="1"/>
          <w:color w:val="auto"/>
        </w:rPr>
        <w:t>Executive Compensation—Equity Benefit Plans</w:t>
      </w:r>
      <w:r>
        <w:rPr>
          <w:rFonts w:ascii="Arial" w:cs="Arial" w:eastAsia="Arial" w:hAnsi="Arial"/>
          <w:sz w:val="14"/>
          <w:szCs w:val="14"/>
          <w:color w:val="auto"/>
        </w:rPr>
        <w:t>”;</w:t>
      </w:r>
    </w:p>
    <w:p>
      <w:pPr>
        <w:spacing w:after="0" w:line="72" w:lineRule="exact"/>
        <w:rPr>
          <w:sz w:val="20"/>
          <w:szCs w:val="20"/>
          <w:color w:val="auto"/>
        </w:rPr>
      </w:pPr>
    </w:p>
    <w:p>
      <w:pPr>
        <w:ind w:left="1080"/>
        <w:spacing w:after="0"/>
        <w:tabs>
          <w:tab w:leader="none" w:pos="1200" w:val="left"/>
          <w:tab w:leader="none" w:pos="1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 xml:space="preserve">          </w:t>
        <w:tab/>
        <w:t>shares of common stock reserved for future issuance under our 2026 Employee Stock Purchase Plan,</w:t>
      </w:r>
    </w:p>
    <w:p>
      <w:pPr>
        <w:spacing w:after="0" w:line="14" w:lineRule="exact"/>
        <w:rPr>
          <w:sz w:val="20"/>
          <w:szCs w:val="20"/>
          <w:color w:val="auto"/>
        </w:rPr>
      </w:pPr>
    </w:p>
    <w:p>
      <w:pPr>
        <w:ind w:left="1220" w:right="699"/>
        <w:spacing w:after="0" w:line="247" w:lineRule="auto"/>
        <w:rPr>
          <w:sz w:val="20"/>
          <w:szCs w:val="20"/>
          <w:color w:val="auto"/>
        </w:rPr>
      </w:pPr>
      <w:r>
        <w:rPr>
          <w:rFonts w:ascii="Arial" w:cs="Arial" w:eastAsia="Arial" w:hAnsi="Arial"/>
          <w:sz w:val="14"/>
          <w:szCs w:val="14"/>
          <w:color w:val="auto"/>
        </w:rPr>
        <w:t>or the ESPP, which will become effective on the date immediately preceding the date on which our common stock is listed (or approved for listing) on Nasdaq, as well as any automatic increases in the number of shares of common stock reserved for future issuance under the ESPP, as more fully described in the section of this prospectus titled “</w:t>
      </w:r>
      <w:r>
        <w:rPr>
          <w:rFonts w:ascii="Arial" w:cs="Arial" w:eastAsia="Arial" w:hAnsi="Arial"/>
          <w:sz w:val="14"/>
          <w:szCs w:val="14"/>
          <w:i w:val="1"/>
          <w:iCs w:val="1"/>
          <w:color w:val="auto"/>
        </w:rPr>
        <w:t>Executive Compensation—Equity Benefit Plans</w:t>
      </w:r>
      <w:r>
        <w:rPr>
          <w:rFonts w:ascii="Arial" w:cs="Arial" w:eastAsia="Arial" w:hAnsi="Arial"/>
          <w:sz w:val="14"/>
          <w:szCs w:val="14"/>
          <w:color w:val="auto"/>
        </w:rPr>
        <w:t>”; and</w:t>
      </w:r>
    </w:p>
    <w:p>
      <w:pPr>
        <w:spacing w:after="0" w:line="54" w:lineRule="exact"/>
        <w:rPr>
          <w:sz w:val="20"/>
          <w:szCs w:val="20"/>
          <w:color w:val="auto"/>
        </w:rPr>
      </w:pPr>
    </w:p>
    <w:p>
      <w:pPr>
        <w:ind w:left="1220" w:right="699" w:hanging="150"/>
        <w:spacing w:after="0" w:line="254" w:lineRule="auto"/>
        <w:tabs>
          <w:tab w:leader="none" w:pos="122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16,928 shares of our common stock issuable upon the exercise of an outstanding warrant to purchase Series A-2 convertible preferred stock held by Banc of California (formerly Pacific Western Bank), or the BOC Warrant, as of December 31, 2025, at an exercise price of $6.15 per share (after giving effect to the conversion of our convertible preferred stock into common stock).</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Unless otherwise indicated, this prospectus assumes or gives effect to the following:</w:t>
      </w:r>
    </w:p>
    <w:p>
      <w:pPr>
        <w:spacing w:after="0" w:line="86" w:lineRule="exact"/>
        <w:rPr>
          <w:sz w:val="20"/>
          <w:szCs w:val="20"/>
          <w:color w:val="auto"/>
        </w:rPr>
      </w:pPr>
    </w:p>
    <w:p>
      <w:pPr>
        <w:ind w:left="1220" w:right="839" w:hanging="150"/>
        <w:spacing w:after="0" w:line="260" w:lineRule="auto"/>
        <w:tabs>
          <w:tab w:leader="none" w:pos="12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the filing and effectiveness of our ninth amended and restated certificate of incorporation, or our Certificate of Incorporation, to be effective immediately prior to the closing of this offering, and the adoption of our amended and restated bylaws, or our Bylaws, to be effective immediately prior to the closing of this offering;</w:t>
      </w:r>
    </w:p>
    <w:p>
      <w:pPr>
        <w:spacing w:after="0" w:line="45" w:lineRule="exact"/>
        <w:rPr>
          <w:rFonts w:ascii="Times New Roman" w:cs="Times New Roman" w:eastAsia="Times New Roman" w:hAnsi="Times New Roman"/>
          <w:sz w:val="14"/>
          <w:szCs w:val="14"/>
          <w:color w:val="auto"/>
        </w:rPr>
      </w:pPr>
    </w:p>
    <w:p>
      <w:pPr>
        <w:ind w:left="1220" w:right="999" w:hanging="150"/>
        <w:spacing w:after="0" w:line="281" w:lineRule="auto"/>
        <w:tabs>
          <w:tab w:leader="none" w:pos="12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the conversion of all outstanding shares of our convertible preferred stock into an aggregate of 238,999,327 shares of our common stock immediately prior to the closing of this offering;</w:t>
      </w:r>
    </w:p>
    <w:p>
      <w:pPr>
        <w:spacing w:after="0" w:line="30" w:lineRule="exact"/>
        <w:rPr>
          <w:rFonts w:ascii="Times New Roman" w:cs="Times New Roman" w:eastAsia="Times New Roman" w:hAnsi="Times New Roman"/>
          <w:sz w:val="14"/>
          <w:szCs w:val="14"/>
          <w:color w:val="auto"/>
        </w:rPr>
      </w:pPr>
    </w:p>
    <w:p>
      <w:pPr>
        <w:ind w:left="1220" w:right="679" w:hanging="150"/>
        <w:spacing w:after="0" w:line="281" w:lineRule="auto"/>
        <w:tabs>
          <w:tab w:leader="none" w:pos="12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the automatic exercise of the Common Stock Warrants, on a net exercise basis, into an aggregate of 32,142,070 shares of our common stock immediately prior to the closing of this offering;</w:t>
      </w:r>
    </w:p>
    <w:p>
      <w:pPr>
        <w:spacing w:after="0" w:line="30" w:lineRule="exact"/>
        <w:rPr>
          <w:rFonts w:ascii="Times New Roman" w:cs="Times New Roman" w:eastAsia="Times New Roman" w:hAnsi="Times New Roman"/>
          <w:sz w:val="14"/>
          <w:szCs w:val="14"/>
          <w:color w:val="auto"/>
        </w:rPr>
      </w:pPr>
    </w:p>
    <w:p>
      <w:pPr>
        <w:ind w:left="1220" w:right="739" w:hanging="150"/>
        <w:spacing w:after="0" w:line="281" w:lineRule="auto"/>
        <w:tabs>
          <w:tab w:leader="none" w:pos="12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the automatic conversion of all outstanding shares of our non-voting common stock into an aggregate of 81,240 shares of our common stock upon the closing of this offering;</w:t>
      </w:r>
    </w:p>
    <w:p>
      <w:pPr>
        <w:spacing w:after="0" w:line="30" w:lineRule="exact"/>
        <w:rPr>
          <w:rFonts w:ascii="Times New Roman" w:cs="Times New Roman" w:eastAsia="Times New Roman" w:hAnsi="Times New Roman"/>
          <w:sz w:val="14"/>
          <w:szCs w:val="14"/>
          <w:color w:val="auto"/>
        </w:rPr>
      </w:pPr>
    </w:p>
    <w:p>
      <w:pPr>
        <w:ind w:left="1220" w:hanging="150"/>
        <w:spacing w:after="0"/>
        <w:tabs>
          <w:tab w:leader="none" w:pos="12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no exercise of the outstanding options or other securities described above after December 31, 2025;</w:t>
      </w:r>
    </w:p>
    <w:p>
      <w:pPr>
        <w:spacing w:after="0" w:line="96" w:lineRule="exact"/>
        <w:rPr>
          <w:sz w:val="20"/>
          <w:szCs w:val="20"/>
          <w:color w:val="auto"/>
        </w:rPr>
      </w:pPr>
    </w:p>
    <w:p>
      <w:pPr>
        <w:ind w:left="1220" w:right="639" w:hanging="139"/>
        <w:spacing w:after="0" w:line="281" w:lineRule="auto"/>
        <w:tabs>
          <w:tab w:leader="none" w:pos="1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a 1-for-        reverse stock split of our voting common stock effected on           and the resulting adjustments to the respective conversion ratios for our non-voting common stock and convertible preferred stock;</w:t>
      </w:r>
    </w:p>
    <w:p>
      <w:pPr>
        <w:spacing w:after="0" w:line="30" w:lineRule="exact"/>
        <w:rPr>
          <w:sz w:val="20"/>
          <w:szCs w:val="20"/>
          <w:color w:val="auto"/>
        </w:rPr>
      </w:pPr>
    </w:p>
    <w:p>
      <w:pPr>
        <w:ind w:left="1220" w:right="659" w:firstLine="4"/>
        <w:spacing w:after="0" w:line="282" w:lineRule="auto"/>
        <w:rPr>
          <w:sz w:val="20"/>
          <w:szCs w:val="20"/>
          <w:color w:val="auto"/>
        </w:rPr>
      </w:pPr>
      <w:r>
        <w:rPr>
          <w:rFonts w:ascii="Arial" w:cs="Arial" w:eastAsia="Arial" w:hAnsi="Arial"/>
          <w:sz w:val="14"/>
          <w:szCs w:val="14"/>
          <w:color w:val="auto"/>
        </w:rPr>
        <w:t>an assumed initial public offering price of $     per share, which is the midpoint of the price range set forth on the cover page of this prospectus; and</w:t>
      </w:r>
    </w:p>
    <w:p>
      <w:pPr>
        <w:spacing w:after="0" w:line="30" w:lineRule="exact"/>
        <w:rPr>
          <w:sz w:val="20"/>
          <w:szCs w:val="20"/>
          <w:color w:val="auto"/>
        </w:rPr>
      </w:pPr>
    </w:p>
    <w:p>
      <w:pPr>
        <w:ind w:left="1220" w:right="739" w:hanging="139"/>
        <w:spacing w:after="0" w:line="281" w:lineRule="auto"/>
        <w:tabs>
          <w:tab w:leader="none" w:pos="1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no exercise by the underwriters of their option to purchase up to        additional shares of our common stock in this offering.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5972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33975" cy="597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SUMMARY CONSOLIDATED FINANCIAL DATA</w:t>
      </w:r>
    </w:p>
    <w:p>
      <w:pPr>
        <w:spacing w:after="0" w:line="86" w:lineRule="exact"/>
        <w:rPr>
          <w:sz w:val="20"/>
          <w:szCs w:val="20"/>
          <w:color w:val="auto"/>
        </w:rPr>
      </w:pPr>
    </w:p>
    <w:p>
      <w:pPr>
        <w:ind w:left="620" w:right="699" w:firstLine="443"/>
        <w:spacing w:after="0" w:line="245" w:lineRule="auto"/>
        <w:rPr>
          <w:sz w:val="20"/>
          <w:szCs w:val="20"/>
          <w:color w:val="auto"/>
        </w:rPr>
      </w:pPr>
      <w:r>
        <w:rPr>
          <w:rFonts w:ascii="Arial" w:cs="Arial" w:eastAsia="Arial" w:hAnsi="Arial"/>
          <w:sz w:val="14"/>
          <w:szCs w:val="14"/>
          <w:color w:val="auto"/>
        </w:rPr>
        <w:t>The following tables set forth our summary historical consolidated financial data as of and for the periods ended on the dates indicated. We have derived the summary consolidated statements of operations and comprehensive loss data for the years ended December 31, 2025 and December 31, 2024 from our audited consolidated financial statements appearing elsewhere in this prospectus. You should read these data together with our financial statements and related notes included elsewhere in this prospectus and the section of the prospectus titled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w:t>
      </w:r>
      <w:r>
        <w:rPr>
          <w:rFonts w:ascii="Arial" w:cs="Arial" w:eastAsia="Arial" w:hAnsi="Arial"/>
          <w:sz w:val="14"/>
          <w:szCs w:val="14"/>
          <w:color w:val="auto"/>
        </w:rPr>
        <w:t>.” The summary consolidated financial data included in this</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are not intended to replace the consolidated financial statements and are qualified in their entirety by our consolidated financial statements and the related notes included elsewhere in this prospectus. Our historical results for any prior period are not necessarily indicative of our future results.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29"/>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right"/>
              <w:ind w:right="88"/>
              <w:spacing w:after="0"/>
              <w:rPr>
                <w:sz w:val="20"/>
                <w:szCs w:val="20"/>
                <w:color w:val="auto"/>
              </w:rPr>
            </w:pPr>
            <w:r>
              <w:rPr>
                <w:rFonts w:ascii="Arial" w:cs="Arial" w:eastAsia="Arial" w:hAnsi="Arial"/>
                <w:sz w:val="11"/>
                <w:szCs w:val="11"/>
                <w:b w:val="1"/>
                <w:bCs w:val="1"/>
                <w:color w:val="auto"/>
              </w:rPr>
              <w:t>Year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280" w:type="dxa"/>
            <w:vAlign w:val="bottom"/>
            <w:vMerge w:val="restart"/>
          </w:tcPr>
          <w:p>
            <w:pPr>
              <w:ind w:left="40"/>
              <w:spacing w:after="0"/>
              <w:rPr>
                <w:sz w:val="20"/>
                <w:szCs w:val="20"/>
                <w:color w:val="auto"/>
              </w:rPr>
            </w:pPr>
            <w:r>
              <w:rPr>
                <w:rFonts w:ascii="Arial" w:cs="Arial" w:eastAsia="Arial" w:hAnsi="Arial"/>
                <w:sz w:val="11"/>
                <w:szCs w:val="11"/>
                <w:color w:val="auto"/>
              </w:rPr>
              <w:t>(in thousands, except share and per share data)</w:t>
            </w: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70"/>
              <w:spacing w:after="0" w:line="120" w:lineRule="exact"/>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49"/>
              <w:spacing w:after="0" w:line="120" w:lineRule="exact"/>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280" w:type="dxa"/>
            <w:vAlign w:val="bottom"/>
          </w:tcPr>
          <w:p>
            <w:pPr>
              <w:spacing w:after="0" w:line="137" w:lineRule="exact"/>
              <w:rPr>
                <w:sz w:val="20"/>
                <w:szCs w:val="20"/>
                <w:color w:val="auto"/>
              </w:rPr>
            </w:pPr>
            <w:r>
              <w:rPr>
                <w:rFonts w:ascii="Arial" w:cs="Arial" w:eastAsia="Arial" w:hAnsi="Arial"/>
                <w:sz w:val="14"/>
                <w:szCs w:val="14"/>
                <w:b w:val="1"/>
                <w:bCs w:val="1"/>
                <w:color w:val="auto"/>
              </w:rPr>
              <w:t>Consolidated Statements of Operations and Comprehensive Loss Data:</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20"/>
                <w:szCs w:val="20"/>
                <w:color w:val="auto"/>
              </w:rPr>
            </w:pPr>
            <w:r>
              <w:rPr>
                <w:rFonts w:ascii="Arial" w:cs="Arial" w:eastAsia="Arial" w:hAnsi="Arial"/>
                <w:sz w:val="14"/>
                <w:szCs w:val="14"/>
                <w:color w:val="auto"/>
              </w:rPr>
              <w:t>Collaboration revenue</w:t>
            </w: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2,976</w:t>
            </w:r>
          </w:p>
        </w:tc>
        <w:tc>
          <w:tcPr>
            <w:tcW w:w="4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20"/>
                <w:szCs w:val="20"/>
                <w:color w:val="auto"/>
              </w:rPr>
            </w:pPr>
            <w:r>
              <w:rPr>
                <w:rFonts w:ascii="Arial" w:cs="Arial" w:eastAsia="Arial" w:hAnsi="Arial"/>
                <w:sz w:val="14"/>
                <w:szCs w:val="14"/>
                <w:color w:val="auto"/>
              </w:rPr>
              <w:t>Operating expenses: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8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126,616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112,579</w:t>
            </w:r>
          </w:p>
        </w:tc>
        <w:tc>
          <w:tcPr>
            <w:tcW w:w="0" w:type="dxa"/>
            <w:vAlign w:val="bottom"/>
          </w:tcPr>
          <w:p>
            <w:pPr>
              <w:spacing w:after="0"/>
              <w:rPr>
                <w:sz w:val="1"/>
                <w:szCs w:val="1"/>
                <w:color w:val="auto"/>
              </w:rPr>
            </w:pPr>
          </w:p>
        </w:tc>
      </w:tr>
      <w:tr>
        <w:trPr>
          <w:trHeight w:val="161"/>
        </w:trPr>
        <w:tc>
          <w:tcPr>
            <w:tcW w:w="528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37,516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27,116</w:t>
            </w:r>
          </w:p>
        </w:tc>
        <w:tc>
          <w:tcPr>
            <w:tcW w:w="0" w:type="dxa"/>
            <w:vAlign w:val="bottom"/>
          </w:tcPr>
          <w:p>
            <w:pPr>
              <w:spacing w:after="0"/>
              <w:rPr>
                <w:sz w:val="1"/>
                <w:szCs w:val="1"/>
                <w:color w:val="auto"/>
              </w:rPr>
            </w:pPr>
          </w:p>
        </w:tc>
      </w:tr>
      <w:tr>
        <w:trPr>
          <w:trHeight w:val="176"/>
        </w:trPr>
        <w:tc>
          <w:tcPr>
            <w:tcW w:w="5280" w:type="dxa"/>
            <w:vAlign w:val="bottom"/>
          </w:tcPr>
          <w:p>
            <w:pPr>
              <w:ind w:left="200"/>
              <w:spacing w:after="0"/>
              <w:rPr>
                <w:sz w:val="20"/>
                <w:szCs w:val="20"/>
                <w:color w:val="auto"/>
              </w:rPr>
            </w:pPr>
            <w:r>
              <w:rPr>
                <w:rFonts w:ascii="Arial" w:cs="Arial" w:eastAsia="Arial" w:hAnsi="Arial"/>
                <w:sz w:val="14"/>
                <w:szCs w:val="14"/>
                <w:color w:val="auto"/>
              </w:rPr>
              <w:t>Change in fair value of contingent consideration</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(4,047)</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152"/>
        </w:trPr>
        <w:tc>
          <w:tcPr>
            <w:tcW w:w="5280" w:type="dxa"/>
            <w:vAlign w:val="bottom"/>
          </w:tcPr>
          <w:p>
            <w:pPr>
              <w:ind w:left="380"/>
              <w:spacing w:after="0" w:line="152" w:lineRule="exact"/>
              <w:rPr>
                <w:sz w:val="20"/>
                <w:szCs w:val="20"/>
                <w:color w:val="auto"/>
              </w:rPr>
            </w:pPr>
            <w:r>
              <w:rPr>
                <w:rFonts w:ascii="Arial" w:cs="Arial" w:eastAsia="Arial" w:hAnsi="Arial"/>
                <w:sz w:val="14"/>
                <w:szCs w:val="14"/>
                <w:color w:val="auto"/>
              </w:rPr>
              <w:t>Total operating expenses</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160,085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52" w:lineRule="exact"/>
              <w:rPr>
                <w:sz w:val="20"/>
                <w:szCs w:val="20"/>
                <w:color w:val="auto"/>
              </w:rPr>
            </w:pPr>
            <w:r>
              <w:rPr>
                <w:rFonts w:ascii="Arial" w:cs="Arial" w:eastAsia="Arial" w:hAnsi="Arial"/>
                <w:sz w:val="14"/>
                <w:szCs w:val="14"/>
                <w:color w:val="auto"/>
              </w:rPr>
              <w:t>141,493</w:t>
            </w:r>
          </w:p>
        </w:tc>
        <w:tc>
          <w:tcPr>
            <w:tcW w:w="0" w:type="dxa"/>
            <w:vAlign w:val="bottom"/>
          </w:tcPr>
          <w:p>
            <w:pPr>
              <w:spacing w:after="0"/>
              <w:rPr>
                <w:sz w:val="1"/>
                <w:szCs w:val="1"/>
                <w:color w:val="auto"/>
              </w:rPr>
            </w:pPr>
          </w:p>
        </w:tc>
      </w:tr>
      <w:tr>
        <w:trPr>
          <w:trHeight w:val="152"/>
        </w:trPr>
        <w:tc>
          <w:tcPr>
            <w:tcW w:w="5280" w:type="dxa"/>
            <w:vAlign w:val="bottom"/>
          </w:tcPr>
          <w:p>
            <w:pPr>
              <w:spacing w:after="0" w:line="152" w:lineRule="exact"/>
              <w:rPr>
                <w:sz w:val="20"/>
                <w:szCs w:val="20"/>
                <w:color w:val="auto"/>
              </w:rPr>
            </w:pPr>
            <w:r>
              <w:rPr>
                <w:rFonts w:ascii="Arial" w:cs="Arial" w:eastAsia="Arial" w:hAnsi="Arial"/>
                <w:sz w:val="14"/>
                <w:szCs w:val="14"/>
                <w:color w:val="auto"/>
              </w:rPr>
              <w:t>Operating loss</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(157,109)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60"/>
              <w:spacing w:after="0" w:line="152" w:lineRule="exact"/>
              <w:rPr>
                <w:sz w:val="20"/>
                <w:szCs w:val="20"/>
                <w:color w:val="auto"/>
              </w:rPr>
            </w:pPr>
            <w:r>
              <w:rPr>
                <w:rFonts w:ascii="Arial" w:cs="Arial" w:eastAsia="Arial" w:hAnsi="Arial"/>
                <w:sz w:val="14"/>
                <w:szCs w:val="14"/>
                <w:color w:val="auto"/>
              </w:rPr>
              <w:t>(137,021)</w:t>
            </w:r>
          </w:p>
        </w:tc>
        <w:tc>
          <w:tcPr>
            <w:tcW w:w="0" w:type="dxa"/>
            <w:vAlign w:val="bottom"/>
          </w:tcPr>
          <w:p>
            <w:pPr>
              <w:spacing w:after="0"/>
              <w:rPr>
                <w:sz w:val="1"/>
                <w:szCs w:val="1"/>
                <w:color w:val="auto"/>
              </w:rPr>
            </w:pPr>
          </w:p>
        </w:tc>
      </w:tr>
      <w:tr>
        <w:trPr>
          <w:trHeight w:val="137"/>
        </w:trPr>
        <w:tc>
          <w:tcPr>
            <w:tcW w:w="5280" w:type="dxa"/>
            <w:vAlign w:val="bottom"/>
          </w:tcPr>
          <w:p>
            <w:pPr>
              <w:spacing w:after="0" w:line="137" w:lineRule="exact"/>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20"/>
                <w:szCs w:val="20"/>
                <w:color w:val="auto"/>
              </w:rPr>
            </w:pPr>
            <w:r>
              <w:rPr>
                <w:rFonts w:ascii="Arial" w:cs="Arial" w:eastAsia="Arial" w:hAnsi="Arial"/>
                <w:sz w:val="14"/>
                <w:szCs w:val="14"/>
                <w:color w:val="auto"/>
              </w:rPr>
              <w:t>Interest income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6,348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8,489</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1,204</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52"/>
        </w:trPr>
        <w:tc>
          <w:tcPr>
            <w:tcW w:w="5280" w:type="dxa"/>
            <w:vAlign w:val="bottom"/>
          </w:tcPr>
          <w:p>
            <w:pPr>
              <w:ind w:left="380"/>
              <w:spacing w:after="0" w:line="152" w:lineRule="exact"/>
              <w:rPr>
                <w:sz w:val="20"/>
                <w:szCs w:val="20"/>
                <w:color w:val="auto"/>
              </w:rPr>
            </w:pPr>
            <w:r>
              <w:rPr>
                <w:rFonts w:ascii="Arial" w:cs="Arial" w:eastAsia="Arial" w:hAnsi="Arial"/>
                <w:sz w:val="14"/>
                <w:szCs w:val="14"/>
                <w:color w:val="auto"/>
              </w:rPr>
              <w:t>Total other income, net</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7,535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52" w:lineRule="exact"/>
              <w:rPr>
                <w:sz w:val="20"/>
                <w:szCs w:val="20"/>
                <w:color w:val="auto"/>
              </w:rPr>
            </w:pPr>
            <w:r>
              <w:rPr>
                <w:rFonts w:ascii="Arial" w:cs="Arial" w:eastAsia="Arial" w:hAnsi="Arial"/>
                <w:sz w:val="14"/>
                <w:szCs w:val="14"/>
                <w:color w:val="auto"/>
              </w:rPr>
              <w:t>8,169</w:t>
            </w:r>
          </w:p>
        </w:tc>
        <w:tc>
          <w:tcPr>
            <w:tcW w:w="0" w:type="dxa"/>
            <w:vAlign w:val="bottom"/>
          </w:tcPr>
          <w:p>
            <w:pPr>
              <w:spacing w:after="0"/>
              <w:rPr>
                <w:sz w:val="1"/>
                <w:szCs w:val="1"/>
                <w:color w:val="auto"/>
              </w:rPr>
            </w:pPr>
          </w:p>
        </w:tc>
      </w:tr>
      <w:tr>
        <w:trPr>
          <w:trHeight w:val="152"/>
        </w:trPr>
        <w:tc>
          <w:tcPr>
            <w:tcW w:w="5280" w:type="dxa"/>
            <w:vAlign w:val="bottom"/>
          </w:tcPr>
          <w:p>
            <w:pPr>
              <w:ind w:left="200"/>
              <w:spacing w:after="0" w:line="152" w:lineRule="exact"/>
              <w:rPr>
                <w:sz w:val="20"/>
                <w:szCs w:val="20"/>
                <w:color w:val="auto"/>
              </w:rPr>
            </w:pPr>
            <w:r>
              <w:rPr>
                <w:rFonts w:ascii="Arial" w:cs="Arial" w:eastAsia="Arial" w:hAnsi="Arial"/>
                <w:sz w:val="14"/>
                <w:szCs w:val="14"/>
                <w:color w:val="auto"/>
              </w:rPr>
              <w:t>Loss before income taxes</w:t>
            </w: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(149,574)</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60"/>
              <w:spacing w:after="0" w:line="152" w:lineRule="exact"/>
              <w:rPr>
                <w:sz w:val="20"/>
                <w:szCs w:val="20"/>
                <w:color w:val="auto"/>
              </w:rPr>
            </w:pPr>
            <w:r>
              <w:rPr>
                <w:rFonts w:ascii="Arial" w:cs="Arial" w:eastAsia="Arial" w:hAnsi="Arial"/>
                <w:sz w:val="14"/>
                <w:szCs w:val="14"/>
                <w:color w:val="auto"/>
              </w:rPr>
              <w:t>(128,852)</w:t>
            </w:r>
          </w:p>
        </w:tc>
        <w:tc>
          <w:tcPr>
            <w:tcW w:w="0" w:type="dxa"/>
            <w:vAlign w:val="bottom"/>
          </w:tcPr>
          <w:p>
            <w:pPr>
              <w:spacing w:after="0"/>
              <w:rPr>
                <w:sz w:val="1"/>
                <w:szCs w:val="1"/>
                <w:color w:val="auto"/>
              </w:rPr>
            </w:pPr>
          </w:p>
        </w:tc>
      </w:tr>
      <w:tr>
        <w:trPr>
          <w:trHeight w:val="152"/>
        </w:trPr>
        <w:tc>
          <w:tcPr>
            <w:tcW w:w="5280" w:type="dxa"/>
            <w:vAlign w:val="bottom"/>
          </w:tcPr>
          <w:p>
            <w:pPr>
              <w:spacing w:after="0" w:line="152" w:lineRule="exact"/>
              <w:rPr>
                <w:sz w:val="20"/>
                <w:szCs w:val="20"/>
                <w:color w:val="auto"/>
              </w:rPr>
            </w:pPr>
            <w:r>
              <w:rPr>
                <w:rFonts w:ascii="Arial" w:cs="Arial" w:eastAsia="Arial" w:hAnsi="Arial"/>
                <w:sz w:val="14"/>
                <w:szCs w:val="14"/>
                <w:color w:val="auto"/>
              </w:rPr>
              <w:t>Income tax provision</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(927)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469</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line="152"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(148,647)</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60"/>
              <w:spacing w:after="0" w:line="152" w:lineRule="exact"/>
              <w:rPr>
                <w:sz w:val="20"/>
                <w:szCs w:val="20"/>
                <w:color w:val="auto"/>
              </w:rPr>
            </w:pPr>
            <w:r>
              <w:rPr>
                <w:rFonts w:ascii="Arial" w:cs="Arial" w:eastAsia="Arial" w:hAnsi="Arial"/>
                <w:sz w:val="14"/>
                <w:szCs w:val="14"/>
                <w:color w:val="auto"/>
              </w:rPr>
              <w:t>(129,321)</w:t>
            </w:r>
          </w:p>
        </w:tc>
        <w:tc>
          <w:tcPr>
            <w:tcW w:w="0" w:type="dxa"/>
            <w:vAlign w:val="bottom"/>
          </w:tcPr>
          <w:p>
            <w:pPr>
              <w:spacing w:after="0"/>
              <w:rPr>
                <w:sz w:val="1"/>
                <w:szCs w:val="1"/>
                <w:color w:val="auto"/>
              </w:rPr>
            </w:pPr>
          </w:p>
        </w:tc>
      </w:tr>
      <w:tr>
        <w:trPr>
          <w:trHeight w:val="137"/>
        </w:trPr>
        <w:tc>
          <w:tcPr>
            <w:tcW w:w="5280" w:type="dxa"/>
            <w:vAlign w:val="bottom"/>
          </w:tcPr>
          <w:p>
            <w:pPr>
              <w:spacing w:after="0" w:line="137" w:lineRule="exact"/>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1,493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76"/>
        </w:trPr>
        <w:tc>
          <w:tcPr>
            <w:tcW w:w="5280" w:type="dxa"/>
            <w:vAlign w:val="bottom"/>
          </w:tcPr>
          <w:p>
            <w:pPr>
              <w:ind w:left="380"/>
              <w:spacing w:after="0"/>
              <w:rPr>
                <w:sz w:val="20"/>
                <w:szCs w:val="20"/>
                <w:color w:val="auto"/>
              </w:rPr>
            </w:pPr>
            <w:r>
              <w:rPr>
                <w:rFonts w:ascii="Arial" w:cs="Arial" w:eastAsia="Arial" w:hAnsi="Arial"/>
                <w:sz w:val="14"/>
                <w:szCs w:val="14"/>
                <w:color w:val="auto"/>
              </w:rPr>
              <w:t>Unrealized gain on marketable securities, net</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2"/>
        </w:trPr>
        <w:tc>
          <w:tcPr>
            <w:tcW w:w="5280" w:type="dxa"/>
            <w:vAlign w:val="bottom"/>
          </w:tcPr>
          <w:p>
            <w:pPr>
              <w:spacing w:after="0" w:line="152" w:lineRule="exact"/>
              <w:rPr>
                <w:sz w:val="20"/>
                <w:szCs w:val="20"/>
                <w:color w:val="auto"/>
              </w:rPr>
            </w:pPr>
            <w:r>
              <w:rPr>
                <w:rFonts w:ascii="Arial" w:cs="Arial" w:eastAsia="Arial" w:hAnsi="Arial"/>
                <w:sz w:val="14"/>
                <w:szCs w:val="14"/>
                <w:color w:val="auto"/>
              </w:rPr>
              <w:t>Total other comprehensive income (loss)</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1,586</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60"/>
              <w:spacing w:after="0" w:line="152"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52"/>
        </w:trPr>
        <w:tc>
          <w:tcPr>
            <w:tcW w:w="5280" w:type="dxa"/>
            <w:vAlign w:val="bottom"/>
          </w:tcPr>
          <w:p>
            <w:pPr>
              <w:spacing w:after="0" w:line="152" w:lineRule="exact"/>
              <w:rPr>
                <w:sz w:val="20"/>
                <w:szCs w:val="20"/>
                <w:color w:val="auto"/>
              </w:rPr>
            </w:pPr>
            <w:r>
              <w:rPr>
                <w:rFonts w:ascii="Arial" w:cs="Arial" w:eastAsia="Arial" w:hAnsi="Arial"/>
                <w:sz w:val="14"/>
                <w:szCs w:val="14"/>
                <w:color w:val="auto"/>
              </w:rPr>
              <w:t>Comprehensive loss</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line="152" w:lineRule="exact"/>
              <w:rPr>
                <w:sz w:val="20"/>
                <w:szCs w:val="20"/>
                <w:color w:val="auto"/>
              </w:rPr>
            </w:pPr>
            <w:r>
              <w:rPr>
                <w:rFonts w:ascii="Arial" w:cs="Arial" w:eastAsia="Arial" w:hAnsi="Arial"/>
                <w:sz w:val="14"/>
                <w:szCs w:val="14"/>
                <w:color w:val="auto"/>
              </w:rPr>
              <w:t>(147,061)</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60"/>
              <w:spacing w:after="0" w:line="152" w:lineRule="exact"/>
              <w:rPr>
                <w:sz w:val="20"/>
                <w:szCs w:val="20"/>
                <w:color w:val="auto"/>
              </w:rPr>
            </w:pPr>
            <w:r>
              <w:rPr>
                <w:rFonts w:ascii="Arial" w:cs="Arial" w:eastAsia="Arial" w:hAnsi="Arial"/>
                <w:sz w:val="14"/>
                <w:szCs w:val="14"/>
                <w:color w:val="auto"/>
              </w:rPr>
              <w:t>(129,804)</w:t>
            </w:r>
          </w:p>
        </w:tc>
        <w:tc>
          <w:tcPr>
            <w:tcW w:w="0" w:type="dxa"/>
            <w:vAlign w:val="bottom"/>
          </w:tcPr>
          <w:p>
            <w:pPr>
              <w:spacing w:after="0"/>
              <w:rPr>
                <w:sz w:val="1"/>
                <w:szCs w:val="1"/>
                <w:color w:val="auto"/>
              </w:rPr>
            </w:pPr>
          </w:p>
        </w:tc>
      </w:tr>
      <w:tr>
        <w:trPr>
          <w:trHeight w:val="143"/>
        </w:trPr>
        <w:tc>
          <w:tcPr>
            <w:tcW w:w="5280" w:type="dxa"/>
            <w:vAlign w:val="bottom"/>
          </w:tcPr>
          <w:p>
            <w:pPr>
              <w:spacing w:after="0" w:line="133" w:lineRule="exact"/>
              <w:rPr>
                <w:sz w:val="20"/>
                <w:szCs w:val="20"/>
                <w:color w:val="auto"/>
              </w:rPr>
            </w:pPr>
            <w:r>
              <w:rPr>
                <w:rFonts w:ascii="Arial" w:cs="Arial" w:eastAsia="Arial" w:hAnsi="Arial"/>
                <w:sz w:val="14"/>
                <w:szCs w:val="14"/>
                <w:color w:val="auto"/>
              </w:rPr>
              <w:t>Net loss attributable to common stockholders:</w:t>
            </w:r>
          </w:p>
        </w:tc>
        <w:tc>
          <w:tcPr>
            <w:tcW w:w="220" w:type="dxa"/>
            <w:vAlign w:val="bottom"/>
            <w:tcBorders>
              <w:bottom w:val="single" w:sz="8" w:color="auto"/>
            </w:tcBorders>
            <w:gridSpan w:val="2"/>
          </w:tcPr>
          <w:p>
            <w:pPr>
              <w:jc w:val="right"/>
              <w:ind w:right="89"/>
              <w:spacing w:after="0" w:line="13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0"/>
              <w:spacing w:after="0" w:line="133" w:lineRule="exact"/>
              <w:rPr>
                <w:sz w:val="20"/>
                <w:szCs w:val="20"/>
                <w:color w:val="auto"/>
              </w:rPr>
            </w:pPr>
            <w:r>
              <w:rPr>
                <w:rFonts w:ascii="Arial" w:cs="Arial" w:eastAsia="Arial" w:hAnsi="Arial"/>
                <w:sz w:val="14"/>
                <w:szCs w:val="14"/>
                <w:color w:val="auto"/>
              </w:rPr>
              <w:t>(148,647)</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188"/>
              <w:spacing w:after="0" w:line="13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60"/>
              <w:spacing w:after="0" w:line="133" w:lineRule="exact"/>
              <w:rPr>
                <w:sz w:val="20"/>
                <w:szCs w:val="20"/>
                <w:color w:val="auto"/>
              </w:rPr>
            </w:pPr>
            <w:r>
              <w:rPr>
                <w:rFonts w:ascii="Arial" w:cs="Arial" w:eastAsia="Arial" w:hAnsi="Arial"/>
                <w:sz w:val="14"/>
                <w:szCs w:val="14"/>
                <w:color w:val="auto"/>
              </w:rPr>
              <w:t>(130,401)</w:t>
            </w:r>
          </w:p>
        </w:tc>
        <w:tc>
          <w:tcPr>
            <w:tcW w:w="0" w:type="dxa"/>
            <w:vAlign w:val="bottom"/>
          </w:tcPr>
          <w:p>
            <w:pPr>
              <w:spacing w:after="0"/>
              <w:rPr>
                <w:sz w:val="1"/>
                <w:szCs w:val="1"/>
                <w:color w:val="auto"/>
              </w:rPr>
            </w:pPr>
          </w:p>
        </w:tc>
      </w:tr>
      <w:tr>
        <w:trPr>
          <w:trHeight w:val="161"/>
        </w:trPr>
        <w:tc>
          <w:tcPr>
            <w:tcW w:w="5280" w:type="dxa"/>
            <w:vAlign w:val="bottom"/>
          </w:tcPr>
          <w:p>
            <w:pPr>
              <w:spacing w:after="0" w:line="161" w:lineRule="exact"/>
              <w:rPr>
                <w:sz w:val="20"/>
                <w:szCs w:val="20"/>
                <w:color w:val="auto"/>
              </w:rPr>
            </w:pPr>
            <w:r>
              <w:rPr>
                <w:rFonts w:ascii="Arial" w:cs="Arial" w:eastAsia="Arial" w:hAnsi="Arial"/>
                <w:sz w:val="14"/>
                <w:szCs w:val="14"/>
                <w:color w:val="auto"/>
              </w:rPr>
              <w:t>Net loss per share attributable to common stockholders, basic and diluted</w:t>
            </w:r>
            <w:r>
              <w:rPr>
                <w:rFonts w:ascii="Arial" w:cs="Arial" w:eastAsia="Arial" w:hAnsi="Arial"/>
                <w:sz w:val="18"/>
                <w:szCs w:val="18"/>
                <w:color w:val="auto"/>
                <w:vertAlign w:val="superscript"/>
              </w:rPr>
              <w:t>(1)</w:t>
            </w: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(5.16)</w:t>
            </w:r>
          </w:p>
        </w:tc>
        <w:tc>
          <w:tcPr>
            <w:tcW w:w="8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43"/>
        </w:trPr>
        <w:tc>
          <w:tcPr>
            <w:tcW w:w="5280" w:type="dxa"/>
            <w:vAlign w:val="bottom"/>
          </w:tcPr>
          <w:p>
            <w:pPr>
              <w:spacing w:after="0" w:line="133" w:lineRule="exact"/>
              <w:rPr>
                <w:sz w:val="20"/>
                <w:szCs w:val="20"/>
                <w:color w:val="auto"/>
              </w:rPr>
            </w:pPr>
            <w:r>
              <w:rPr>
                <w:rFonts w:ascii="Arial" w:cs="Arial" w:eastAsia="Arial" w:hAnsi="Arial"/>
                <w:sz w:val="14"/>
                <w:szCs w:val="14"/>
                <w:color w:val="auto"/>
              </w:rPr>
              <w:t>Weighted-average common shares outstanding, basic and diluted</w:t>
            </w: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0"/>
              <w:spacing w:after="0" w:line="133" w:lineRule="exact"/>
              <w:rPr>
                <w:sz w:val="20"/>
                <w:szCs w:val="20"/>
                <w:color w:val="auto"/>
              </w:rPr>
            </w:pPr>
            <w:r>
              <w:rPr>
                <w:rFonts w:ascii="Arial" w:cs="Arial" w:eastAsia="Arial" w:hAnsi="Arial"/>
                <w:sz w:val="14"/>
                <w:szCs w:val="14"/>
                <w:color w:val="auto"/>
              </w:rPr>
              <w:t>28,813,328</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00"/>
              <w:spacing w:after="0" w:line="133" w:lineRule="exact"/>
              <w:rPr>
                <w:sz w:val="20"/>
                <w:szCs w:val="20"/>
                <w:color w:val="auto"/>
              </w:rPr>
            </w:pPr>
            <w:r>
              <w:rPr>
                <w:rFonts w:ascii="Arial" w:cs="Arial" w:eastAsia="Arial" w:hAnsi="Arial"/>
                <w:sz w:val="14"/>
                <w:szCs w:val="14"/>
                <w:color w:val="auto"/>
              </w:rPr>
              <w:t>7,841,528</w:t>
            </w:r>
          </w:p>
        </w:tc>
        <w:tc>
          <w:tcPr>
            <w:tcW w:w="0" w:type="dxa"/>
            <w:vAlign w:val="bottom"/>
          </w:tcPr>
          <w:p>
            <w:pPr>
              <w:spacing w:after="0"/>
              <w:rPr>
                <w:sz w:val="1"/>
                <w:szCs w:val="1"/>
                <w:color w:val="auto"/>
              </w:rPr>
            </w:pPr>
          </w:p>
        </w:tc>
      </w:tr>
      <w:tr>
        <w:trPr>
          <w:trHeight w:val="161"/>
        </w:trPr>
        <w:tc>
          <w:tcPr>
            <w:tcW w:w="5280" w:type="dxa"/>
            <w:vAlign w:val="bottom"/>
          </w:tcPr>
          <w:p>
            <w:pPr>
              <w:spacing w:after="0" w:line="161" w:lineRule="exact"/>
              <w:rPr>
                <w:sz w:val="20"/>
                <w:szCs w:val="20"/>
                <w:color w:val="auto"/>
              </w:rPr>
            </w:pPr>
            <w:r>
              <w:rPr>
                <w:rFonts w:ascii="Arial" w:cs="Arial" w:eastAsia="Arial" w:hAnsi="Arial"/>
                <w:sz w:val="14"/>
                <w:szCs w:val="14"/>
                <w:color w:val="auto"/>
              </w:rPr>
              <w:t>Pro forma net loss per share, basic and diluted (unaudited)</w:t>
            </w:r>
            <w:r>
              <w:rPr>
                <w:rFonts w:ascii="Arial" w:cs="Arial" w:eastAsia="Arial" w:hAnsi="Arial"/>
                <w:sz w:val="18"/>
                <w:szCs w:val="18"/>
                <w:color w:val="auto"/>
                <w:vertAlign w:val="superscript"/>
              </w:rPr>
              <w:t>(2)</w:t>
            </w:r>
          </w:p>
        </w:tc>
        <w:tc>
          <w:tcPr>
            <w:tcW w:w="20" w:type="dxa"/>
            <w:vAlign w:val="bottom"/>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280" w:type="dxa"/>
            <w:vAlign w:val="bottom"/>
          </w:tcPr>
          <w:p>
            <w:pPr>
              <w:spacing w:after="0" w:line="122" w:lineRule="exact"/>
              <w:rPr>
                <w:sz w:val="20"/>
                <w:szCs w:val="20"/>
                <w:color w:val="auto"/>
              </w:rPr>
            </w:pPr>
            <w:r>
              <w:rPr>
                <w:rFonts w:ascii="Arial" w:cs="Arial" w:eastAsia="Arial" w:hAnsi="Arial"/>
                <w:sz w:val="14"/>
                <w:szCs w:val="14"/>
                <w:color w:val="auto"/>
              </w:rPr>
              <w:t>Pro forma weighted-average shares of common stock outstanding basic</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280" w:type="dxa"/>
            <w:vAlign w:val="bottom"/>
          </w:tcPr>
          <w:p>
            <w:pPr>
              <w:ind w:left="120"/>
              <w:spacing w:after="0" w:line="181" w:lineRule="exact"/>
              <w:rPr>
                <w:sz w:val="20"/>
                <w:szCs w:val="20"/>
                <w:color w:val="auto"/>
              </w:rPr>
            </w:pPr>
            <w:r>
              <w:rPr>
                <w:rFonts w:ascii="Arial" w:cs="Arial" w:eastAsia="Arial" w:hAnsi="Arial"/>
                <w:sz w:val="14"/>
                <w:szCs w:val="14"/>
                <w:color w:val="auto"/>
              </w:rPr>
              <w:t>and diluted (unaudited)</w:t>
            </w:r>
            <w:r>
              <w:rPr>
                <w:rFonts w:ascii="Arial" w:cs="Arial" w:eastAsia="Arial" w:hAnsi="Arial"/>
                <w:sz w:val="19"/>
                <w:szCs w:val="19"/>
                <w:color w:val="auto"/>
                <w:vertAlign w:val="superscript"/>
              </w:rPr>
              <w:t>(2)</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287,690,900</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020" w:right="719" w:hanging="393"/>
        <w:spacing w:after="0" w:line="247" w:lineRule="auto"/>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See Note 2 and Note 17 to our audited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w:t>
      </w:r>
    </w:p>
    <w:p>
      <w:pPr>
        <w:spacing w:after="0" w:line="1" w:lineRule="exact"/>
        <w:rPr>
          <w:rFonts w:ascii="Arial" w:cs="Arial" w:eastAsia="Arial" w:hAnsi="Arial"/>
          <w:sz w:val="13"/>
          <w:szCs w:val="13"/>
          <w:color w:val="auto"/>
        </w:rPr>
      </w:pPr>
    </w:p>
    <w:p>
      <w:pPr>
        <w:ind w:left="1020" w:right="679" w:hanging="393"/>
        <w:spacing w:after="0" w:line="243" w:lineRule="auto"/>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color w:val="auto"/>
        </w:rPr>
        <w:t>Unaudited pro forma net loss per share, basic and diluted, attributable to common stockholders, is calculated giving effect to the conversion of all outstanding shares of our convertible preferred stock and warrants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years ended December 31, 2024 and December 31, 2025 was calculated using the weighted average number of shares of common stock outstanding, including the pro forma effect of the conversion of all outstanding shares of our convertible preferred stock and warrants into shares of our common stock, as if such conversion had occurred at the beginning of the respective period.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233045</wp:posOffset>
            </wp:positionV>
            <wp:extent cx="5133975" cy="3702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33975" cy="37020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5"/>
          </w:tcPr>
          <w:p>
            <w:pPr>
              <w:jc w:val="right"/>
              <w:ind w:right="1103"/>
              <w:spacing w:after="0"/>
              <w:rPr>
                <w:sz w:val="20"/>
                <w:szCs w:val="20"/>
                <w:color w:val="auto"/>
              </w:rPr>
            </w:pPr>
            <w:r>
              <w:rPr>
                <w:rFonts w:ascii="Arial" w:cs="Arial" w:eastAsia="Arial" w:hAnsi="Arial"/>
                <w:sz w:val="11"/>
                <w:szCs w:val="11"/>
                <w:b w:val="1"/>
                <w:bCs w:val="1"/>
                <w:color w:val="auto"/>
              </w:rPr>
              <w:t>As of December 31, 2025</w:t>
            </w: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ind w:right="212"/>
              <w:spacing w:after="0"/>
              <w:rPr>
                <w:sz w:val="20"/>
                <w:szCs w:val="20"/>
                <w:color w:val="auto"/>
              </w:rPr>
            </w:pPr>
            <w:r>
              <w:rPr>
                <w:rFonts w:ascii="Arial" w:cs="Arial" w:eastAsia="Arial" w:hAnsi="Arial"/>
                <w:sz w:val="11"/>
                <w:szCs w:val="11"/>
                <w:b w:val="1"/>
                <w:bCs w:val="1"/>
                <w:color w:val="auto"/>
              </w:rPr>
              <w:t>Pro Forma</w:t>
            </w:r>
            <w:r>
              <w:rPr>
                <w:rFonts w:ascii="Arial" w:cs="Arial" w:eastAsia="Arial" w:hAnsi="Arial"/>
                <w:sz w:val="15"/>
                <w:szCs w:val="15"/>
                <w:b w:val="1"/>
                <w:bCs w:val="1"/>
                <w:color w:val="auto"/>
                <w:vertAlign w:val="superscript"/>
              </w:rPr>
              <w:t>(1)(3)</w:t>
            </w:r>
          </w:p>
        </w:tc>
        <w:tc>
          <w:tcPr>
            <w:tcW w:w="60" w:type="dxa"/>
            <w:vAlign w:val="bottom"/>
          </w:tcPr>
          <w:p>
            <w:pPr>
              <w:spacing w:after="0"/>
              <w:rPr>
                <w:sz w:val="8"/>
                <w:szCs w:val="8"/>
                <w:color w:val="auto"/>
              </w:rPr>
            </w:pPr>
          </w:p>
        </w:tc>
        <w:tc>
          <w:tcPr>
            <w:tcW w:w="1180" w:type="dxa"/>
            <w:vAlign w:val="bottom"/>
          </w:tcPr>
          <w:p>
            <w:pPr>
              <w:jc w:val="center"/>
              <w:ind w:right="23"/>
              <w:spacing w:after="0" w:line="99" w:lineRule="exact"/>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50"/>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rPr>
              <w:t>Actual</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Borders>
              <w:bottom w:val="single" w:sz="8" w:color="auto"/>
            </w:tcBorders>
          </w:tcPr>
          <w:p>
            <w:pPr>
              <w:jc w:val="center"/>
              <w:ind w:right="23"/>
              <w:spacing w:after="0" w:line="151" w:lineRule="exact"/>
              <w:rPr>
                <w:sz w:val="20"/>
                <w:szCs w:val="20"/>
                <w:color w:val="auto"/>
              </w:rPr>
            </w:pPr>
            <w:r>
              <w:rPr>
                <w:rFonts w:ascii="Arial" w:cs="Arial" w:eastAsia="Arial" w:hAnsi="Arial"/>
                <w:sz w:val="11"/>
                <w:szCs w:val="11"/>
                <w:b w:val="1"/>
                <w:bCs w:val="1"/>
                <w:color w:val="auto"/>
                <w:w w:val="96"/>
              </w:rPr>
              <w:t>As Adjusted</w:t>
            </w:r>
            <w:r>
              <w:rPr>
                <w:rFonts w:ascii="Arial" w:cs="Arial" w:eastAsia="Arial" w:hAnsi="Arial"/>
                <w:sz w:val="15"/>
                <w:szCs w:val="15"/>
                <w:b w:val="1"/>
                <w:bCs w:val="1"/>
                <w:color w:val="auto"/>
                <w:w w:val="96"/>
                <w:vertAlign w:val="superscript"/>
              </w:rPr>
              <w:t>(2)(3)</w:t>
            </w:r>
          </w:p>
        </w:tc>
        <w:tc>
          <w:tcPr>
            <w:tcW w:w="0" w:type="dxa"/>
            <w:vAlign w:val="bottom"/>
          </w:tcPr>
          <w:p>
            <w:pPr>
              <w:spacing w:after="0"/>
              <w:rPr>
                <w:sz w:val="1"/>
                <w:szCs w:val="1"/>
                <w:color w:val="auto"/>
              </w:rPr>
            </w:pPr>
          </w:p>
        </w:tc>
      </w:tr>
      <w:tr>
        <w:trPr>
          <w:trHeight w:val="148"/>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72"/>
              <w:spacing w:after="0"/>
              <w:rPr>
                <w:sz w:val="20"/>
                <w:szCs w:val="20"/>
                <w:color w:val="auto"/>
              </w:rPr>
            </w:pPr>
            <w:r>
              <w:rPr>
                <w:rFonts w:ascii="Arial" w:cs="Arial" w:eastAsia="Arial" w:hAnsi="Arial"/>
                <w:sz w:val="11"/>
                <w:szCs w:val="11"/>
                <w:b w:val="1"/>
                <w:bCs w:val="1"/>
                <w:color w:val="auto"/>
              </w:rPr>
              <w:t>(unaudited)</w:t>
            </w: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Arial" w:cs="Arial" w:eastAsia="Arial" w:hAnsi="Arial"/>
                <w:sz w:val="14"/>
                <w:szCs w:val="14"/>
                <w:color w:val="auto"/>
              </w:rPr>
              <w:t>Cash, cash equivalents and marketable securities</w:t>
            </w:r>
          </w:p>
        </w:tc>
        <w:tc>
          <w:tcPr>
            <w:tcW w:w="2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line="145" w:lineRule="exact"/>
              <w:rPr>
                <w:sz w:val="20"/>
                <w:szCs w:val="20"/>
                <w:color w:val="auto"/>
              </w:rPr>
            </w:pPr>
            <w:r>
              <w:rPr>
                <w:rFonts w:ascii="Arial" w:cs="Arial" w:eastAsia="Arial" w:hAnsi="Arial"/>
                <w:sz w:val="14"/>
                <w:szCs w:val="14"/>
                <w:color w:val="auto"/>
              </w:rPr>
              <w:t>216,556</w:t>
            </w:r>
          </w:p>
        </w:tc>
        <w:tc>
          <w:tcPr>
            <w:tcW w:w="2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line="145" w:lineRule="exact"/>
              <w:rPr>
                <w:sz w:val="20"/>
                <w:szCs w:val="20"/>
                <w:color w:val="auto"/>
              </w:rPr>
            </w:pPr>
            <w:r>
              <w:rPr>
                <w:rFonts w:ascii="Arial" w:cs="Arial" w:eastAsia="Arial" w:hAnsi="Arial"/>
                <w:sz w:val="14"/>
                <w:szCs w:val="14"/>
                <w:color w:val="auto"/>
              </w:rPr>
              <w:t>216,566</w:t>
            </w:r>
          </w:p>
        </w:tc>
        <w:tc>
          <w:tcPr>
            <w:tcW w:w="1240" w:type="dxa"/>
            <w:vAlign w:val="bottom"/>
            <w:gridSpan w:val="2"/>
          </w:tcPr>
          <w:p>
            <w:pPr>
              <w:jc w:val="right"/>
              <w:ind w:right="1043"/>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4020" w:type="dxa"/>
            <w:vAlign w:val="bottom"/>
          </w:tcPr>
          <w:p>
            <w:pPr>
              <w:spacing w:after="0" w:line="177" w:lineRule="exact"/>
              <w:rPr>
                <w:sz w:val="20"/>
                <w:szCs w:val="20"/>
                <w:color w:val="auto"/>
              </w:rPr>
            </w:pPr>
            <w:r>
              <w:rPr>
                <w:rFonts w:ascii="Arial" w:cs="Arial" w:eastAsia="Arial" w:hAnsi="Arial"/>
                <w:sz w:val="14"/>
                <w:szCs w:val="14"/>
                <w:color w:val="auto"/>
              </w:rPr>
              <w:t>Working capital</w:t>
            </w:r>
            <w:r>
              <w:rPr>
                <w:rFonts w:ascii="Arial" w:cs="Arial" w:eastAsia="Arial" w:hAnsi="Arial"/>
                <w:sz w:val="19"/>
                <w:szCs w:val="19"/>
                <w:color w:val="auto"/>
                <w:vertAlign w:val="superscript"/>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164,181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164,181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269,788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269,788</w:t>
            </w: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703,558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(568,139)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(568,139)</w:t>
            </w: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(488,278)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215,280</w:t>
            </w: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left="1020" w:right="739" w:hanging="393"/>
        <w:spacing w:after="0" w:line="247" w:lineRule="auto"/>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 forma amounts give effect to the conversion of all outstanding shares of our convertible preferred stock into an aggregate of 238,999,327 shares of our common stock and the related reclassification of the carrying value of the convertible preferred stock to permanent equity immediately prior to the closing of this offering.</w:t>
      </w:r>
    </w:p>
    <w:p>
      <w:pPr>
        <w:spacing w:after="0" w:line="1" w:lineRule="exact"/>
        <w:rPr>
          <w:rFonts w:ascii="Arial" w:cs="Arial" w:eastAsia="Arial" w:hAnsi="Arial"/>
          <w:sz w:val="13"/>
          <w:szCs w:val="13"/>
          <w:color w:val="auto"/>
        </w:rPr>
      </w:pPr>
    </w:p>
    <w:p>
      <w:pPr>
        <w:ind w:left="1020" w:right="639" w:hanging="393"/>
        <w:spacing w:after="0" w:line="261" w:lineRule="auto"/>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Pro forma as adjusted amounts give effect to (i) the pro forma adjustments set forth in footnote (1) above, and (ii) the issuance and sale of shares of our common stock in this offering at the initial public offering price of $     per share, which is the midpoint of the price range set forth on the cover page of this prospectus, after deducting the underwriting discounts and commissions and estimated offering expenses payable by us. Each $1.00 increase or decrease in the assumed initial public offering price of $    </w:t>
      </w:r>
    </w:p>
    <w:p>
      <w:pPr>
        <w:spacing w:after="0" w:line="1" w:lineRule="exact"/>
        <w:rPr>
          <w:rFonts w:ascii="Arial" w:cs="Arial" w:eastAsia="Arial" w:hAnsi="Arial"/>
          <w:sz w:val="12"/>
          <w:szCs w:val="12"/>
          <w:color w:val="auto"/>
        </w:rPr>
      </w:pPr>
    </w:p>
    <w:p>
      <w:pPr>
        <w:ind w:left="1020" w:right="679"/>
        <w:spacing w:after="0" w:line="241" w:lineRule="auto"/>
        <w:rPr>
          <w:rFonts w:ascii="Arial" w:cs="Arial" w:eastAsia="Arial" w:hAnsi="Arial"/>
          <w:sz w:val="12"/>
          <w:szCs w:val="12"/>
          <w:color w:val="auto"/>
        </w:rPr>
      </w:pPr>
      <w:r>
        <w:rPr>
          <w:rFonts w:ascii="Arial" w:cs="Arial" w:eastAsia="Arial" w:hAnsi="Arial"/>
          <w:sz w:val="13"/>
          <w:szCs w:val="13"/>
          <w:color w:val="auto"/>
        </w:rPr>
        <w:t>per share would increase or decrease, as applicable, the pro forma as adjusted amount of each of our cash, cash equivalents and marketable securities, working capital, total assets and total stockholders’ (deficit) equity by approximately $        , assuming that the number of shares offered by us, as set forth on the cover page of this prospectus, remains the same and after deducting the underwriting discounts and commissions and estimated offering expenses payable by us. Each increase or decrease of 1.0 million shares in the number of shares offered by us at the assumed initial public offering price of $     per share would increase or decrease, as applicable, the pro forma as adjusted amounts of each of our cash, cash equivalents and marketable securities, working capital, total assets and total stockholders’ (deficit) equity by approximately $    , after deducting the underwriting discounts and commissions and estimated offering expenses payable by us.</w:t>
      </w:r>
    </w:p>
    <w:p>
      <w:pPr>
        <w:spacing w:after="0" w:line="1" w:lineRule="exact"/>
        <w:rPr>
          <w:rFonts w:ascii="Arial" w:cs="Arial" w:eastAsia="Arial" w:hAnsi="Arial"/>
          <w:sz w:val="12"/>
          <w:szCs w:val="12"/>
          <w:color w:val="auto"/>
        </w:rPr>
      </w:pPr>
    </w:p>
    <w:p>
      <w:pPr>
        <w:ind w:left="1020" w:right="659" w:hanging="393"/>
        <w:spacing w:after="0" w:line="241" w:lineRule="auto"/>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pro forma and pro forma as adjusted information discussed above is illustrative only and will be adjusted based on the actual initial public offering price and other terms of this offering determined at pricing.</w:t>
      </w:r>
    </w:p>
    <w:p>
      <w:pPr>
        <w:ind w:left="1020" w:right="839" w:hanging="393"/>
        <w:spacing w:after="0" w:line="252" w:lineRule="auto"/>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323850</wp:posOffset>
            </wp:positionV>
            <wp:extent cx="56038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 FACTORS</w:t>
      </w:r>
    </w:p>
    <w:p>
      <w:pPr>
        <w:spacing w:after="0" w:line="88" w:lineRule="exact"/>
        <w:rPr>
          <w:sz w:val="20"/>
          <w:szCs w:val="20"/>
          <w:color w:val="auto"/>
        </w:rPr>
      </w:pPr>
    </w:p>
    <w:p>
      <w:pPr>
        <w:ind w:left="640" w:right="739" w:firstLine="443"/>
        <w:spacing w:after="0" w:line="245" w:lineRule="auto"/>
        <w:rPr>
          <w:sz w:val="20"/>
          <w:szCs w:val="20"/>
          <w:color w:val="auto"/>
        </w:rPr>
      </w:pPr>
      <w:r>
        <w:rPr>
          <w:rFonts w:ascii="Arial" w:cs="Arial" w:eastAsia="Arial" w:hAnsi="Arial"/>
          <w:sz w:val="14"/>
          <w:szCs w:val="14"/>
          <w:i w:val="1"/>
          <w:iCs w:val="1"/>
          <w:color w:val="auto"/>
        </w:rPr>
        <w:t>An investment in our common stock involves a high degree of risk. In deciding whether to invest, you should carefully consider and read the following risk factors, as well as the financial and other information contained in this prospectus, including in the section of this prospectus titled “Management’s Discussion and Analysis of Financial Condition and Results of Operations” and in our consolidated financial statements and related notes included elsewhere in this prospectus.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Risks Related to Our Business, Limited Operating History and Financial Position</w:t>
      </w:r>
    </w:p>
    <w:p>
      <w:pPr>
        <w:spacing w:after="0" w:line="88" w:lineRule="exact"/>
        <w:rPr>
          <w:sz w:val="20"/>
          <w:szCs w:val="20"/>
          <w:color w:val="auto"/>
        </w:rPr>
      </w:pPr>
    </w:p>
    <w:p>
      <w:pPr>
        <w:ind w:left="640" w:right="1039"/>
        <w:spacing w:after="0" w:line="264" w:lineRule="auto"/>
        <w:rPr>
          <w:sz w:val="20"/>
          <w:szCs w:val="20"/>
          <w:color w:val="auto"/>
        </w:rPr>
      </w:pPr>
      <w:r>
        <w:rPr>
          <w:rFonts w:ascii="Arial" w:cs="Arial" w:eastAsia="Arial" w:hAnsi="Arial"/>
          <w:sz w:val="14"/>
          <w:szCs w:val="14"/>
          <w:b w:val="1"/>
          <w:bCs w:val="1"/>
          <w:i w:val="1"/>
          <w:iCs w:val="1"/>
          <w:color w:val="auto"/>
        </w:rPr>
        <w:t>We are a clinical-stage biotechnology company with a limited operating history and a history of incurring substantial net losses, have no products approved for commercial sale, have never generated revenue from product sales and may never be profitable.</w:t>
      </w:r>
    </w:p>
    <w:p>
      <w:pPr>
        <w:spacing w:after="0" w:line="36"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We are a clinical-stage biotechnology company with a limited operating history. We were formed in April 2021 and have devoted substantially all of our resources since that time to research and development activities for our product candidates, including OD-001 and OD-002, and our other development programs, recruiting management and technical staff, raising capital, producing materials for preclinical studies and clinical trials, developing and establishing our intellectual property portfolio, developing our research and development tools and technologies, entering into collaboration agreements, acquiring companies or assets to further our development programs and building infrastructure to support such activities. Our most advanced product candidate, OD-001, is in an ongoing phase 2a trial with other trials planned to commence in the second half of 2026, and all of our other product candidates remain in preclinical or non-clinical development.</w:t>
      </w:r>
    </w:p>
    <w:p>
      <w:pPr>
        <w:spacing w:after="0" w:line="221" w:lineRule="exact"/>
        <w:rPr>
          <w:sz w:val="20"/>
          <w:szCs w:val="20"/>
          <w:color w:val="auto"/>
        </w:rPr>
      </w:pPr>
    </w:p>
    <w:p>
      <w:pPr>
        <w:ind w:left="640" w:right="739" w:firstLine="443"/>
        <w:spacing w:after="0" w:line="261" w:lineRule="auto"/>
        <w:rPr>
          <w:sz w:val="20"/>
          <w:szCs w:val="20"/>
          <w:color w:val="auto"/>
        </w:rPr>
      </w:pPr>
      <w:r>
        <w:rPr>
          <w:rFonts w:ascii="Arial" w:cs="Arial" w:eastAsia="Arial" w:hAnsi="Arial"/>
          <w:sz w:val="14"/>
          <w:szCs w:val="14"/>
          <w:color w:val="auto"/>
        </w:rPr>
        <w:t>We continue to incur significant research and development and other expenses related to our ongoing operations. The success of our business depends primarily upon our ability to identify, develop and commercialize our product candidates.</w:t>
      </w:r>
    </w:p>
    <w:p>
      <w:pPr>
        <w:spacing w:after="0" w:line="44"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We do not have any products approved for sale and have not generated any revenue from product sales or royalties to date. We do not know whether we will be able to develop any product candidates that succeed through preclinical and clinical development or products of commercial value. All of our historical revenue was generated from certain collaboration agreements we had entered into. We do not expect to generate product revenues unless and until we obtain marketing approval for a product candidate. Consequently, it may be more difficult to evaluate our business and predictions about our future success and viability may not be as accurate as they could be if we had a longer operating history. Investing in biotechnology product development is highly speculative because of the significant risk that, despite significant investment, any potential product candidate will fail to demonstrate adequate effect or an acceptable safety profile, gain regulatory approval and become commercially viable.</w:t>
      </w:r>
    </w:p>
    <w:p>
      <w:pPr>
        <w:spacing w:after="0" w:line="57"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We have incurred net losses since our inception through December 31, 2025. Net losses and negative cash flows have had, and will continue to have, an adverse effect on our stockholders’ equity and working capital. For the years ended December 31, 2025 and 2024, we reported a net loss of $148.6 million and $129.3 million, respectively. As of December 31, 2025, we had an accumulated deficit of $568.1 million.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 for our product candidates.</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We anticipate that our expenses will increase substantially as we:</w:t>
      </w:r>
    </w:p>
    <w:p>
      <w:pPr>
        <w:spacing w:after="0" w:line="86" w:lineRule="exact"/>
        <w:rPr>
          <w:sz w:val="20"/>
          <w:szCs w:val="20"/>
          <w:color w:val="auto"/>
        </w:rPr>
      </w:pPr>
    </w:p>
    <w:p>
      <w:pPr>
        <w:ind w:left="1260" w:right="859" w:hanging="179"/>
        <w:spacing w:after="0" w:line="281" w:lineRule="auto"/>
        <w:tabs>
          <w:tab w:leader="none" w:pos="12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continue to progress the development of our product candidates, including our two most advanced programs: OD-001 and OD-002;</w:t>
      </w:r>
    </w:p>
    <w:p>
      <w:pPr>
        <w:spacing w:after="0" w:line="30"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spacing w:after="0" w:line="45" w:lineRule="exact"/>
        <w:rPr>
          <w:rFonts w:ascii="Times New Roman" w:cs="Times New Roman" w:eastAsia="Times New Roman" w:hAnsi="Times New Roman"/>
          <w:sz w:val="14"/>
          <w:szCs w:val="14"/>
          <w:color w:val="auto"/>
        </w:rPr>
      </w:pPr>
    </w:p>
    <w:p>
      <w:pPr>
        <w:ind w:left="1260" w:right="1099" w:hanging="179"/>
        <w:spacing w:after="0" w:line="281" w:lineRule="auto"/>
        <w:tabs>
          <w:tab w:leader="none" w:pos="12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establish and expand the manufacturing of preclinical and clinical supply of our current and future product candidates;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seek regulatory approvals for any of our current product candidates or any future product candidates;</w:t>
      </w:r>
    </w:p>
    <w:p>
      <w:pPr>
        <w:spacing w:after="0" w:line="96" w:lineRule="exact"/>
        <w:rPr>
          <w:rFonts w:ascii="Times New Roman" w:cs="Times New Roman" w:eastAsia="Times New Roman" w:hAnsi="Times New Roman"/>
          <w:sz w:val="14"/>
          <w:szCs w:val="14"/>
          <w:color w:val="auto"/>
        </w:rPr>
      </w:pPr>
    </w:p>
    <w:p>
      <w:pPr>
        <w:ind w:left="1260" w:right="1219" w:hanging="179"/>
        <w:spacing w:after="0" w:line="281" w:lineRule="auto"/>
        <w:tabs>
          <w:tab w:leader="none" w:pos="12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establish a sales, marketing, manufacturing and distribution infrastructure to commercialize any product candidates for which we may obtain marketing approval, if any;</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hanging="179"/>
        <w:spacing w:after="0"/>
        <w:tabs>
          <w:tab w:leader="none" w:pos="12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attract, hire and retain qualified clinical, scientific, operations and management personnel;</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add and maintain operational, financial and information management systems;</w:t>
      </w:r>
    </w:p>
    <w:p>
      <w:pPr>
        <w:spacing w:after="0" w:line="96"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protect, maintain, enforce and expand our rights in our intellectual property portfolio or acquire or in-license intellectual property and technologies from third parties;</w:t>
      </w:r>
    </w:p>
    <w:p>
      <w:pPr>
        <w:spacing w:after="0" w:line="30" w:lineRule="exact"/>
        <w:rPr>
          <w:rFonts w:ascii="Times New Roman" w:cs="Times New Roman" w:eastAsia="Times New Roman" w:hAnsi="Times New Roman"/>
          <w:sz w:val="14"/>
          <w:szCs w:val="14"/>
          <w:color w:val="auto"/>
        </w:rPr>
      </w:pPr>
    </w:p>
    <w:p>
      <w:pPr>
        <w:ind w:left="1260" w:right="1159" w:hanging="179"/>
        <w:spacing w:after="0" w:line="281" w:lineRule="auto"/>
        <w:tabs>
          <w:tab w:leader="none" w:pos="12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experience any delays in our preclinical studies or clinical trials and regulatory approval for our product candidates, including as a result of macroeconomic conditions, geopolitical conflicts or other factors; and</w:t>
      </w:r>
    </w:p>
    <w:p>
      <w:pPr>
        <w:spacing w:after="0" w:line="30" w:lineRule="exact"/>
        <w:rPr>
          <w:rFonts w:ascii="Times New Roman" w:cs="Times New Roman" w:eastAsia="Times New Roman" w:hAnsi="Times New Roman"/>
          <w:sz w:val="14"/>
          <w:szCs w:val="14"/>
          <w:color w:val="auto"/>
        </w:rPr>
      </w:pPr>
    </w:p>
    <w:p>
      <w:pPr>
        <w:ind w:left="1260" w:right="879" w:hanging="179"/>
        <w:spacing w:after="0" w:line="281" w:lineRule="auto"/>
        <w:tabs>
          <w:tab w:leader="none" w:pos="12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incur additional legal, accounting or other expenses in operating our business, including the costs associated with operating as a public company following the completion of this offering.</w:t>
      </w:r>
    </w:p>
    <w:p>
      <w:pPr>
        <w:spacing w:after="0" w:line="30"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our value and the price of our common stock, and could impair our ability to raise capital, maintain our research and development efforts, expand our business or continue our operations. A decline in the value of our common stock also could cause you to lose all or part of your investment.</w:t>
      </w:r>
    </w:p>
    <w:p>
      <w:pPr>
        <w:spacing w:after="0" w:line="60"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 Our prior losses and expected future losses have had and will continue to have an adverse effect on our stockholders’ deficit and working capital.</w:t>
      </w:r>
    </w:p>
    <w:p>
      <w:pPr>
        <w:spacing w:after="0" w:line="142" w:lineRule="exact"/>
        <w:rPr>
          <w:sz w:val="20"/>
          <w:szCs w:val="20"/>
          <w:color w:val="auto"/>
        </w:rPr>
      </w:pPr>
    </w:p>
    <w:p>
      <w:pPr>
        <w:ind w:left="640" w:right="879"/>
        <w:spacing w:after="0" w:line="264" w:lineRule="auto"/>
        <w:rPr>
          <w:sz w:val="20"/>
          <w:szCs w:val="20"/>
          <w:color w:val="auto"/>
        </w:rPr>
      </w:pPr>
      <w:r>
        <w:rPr>
          <w:rFonts w:ascii="Arial" w:cs="Arial" w:eastAsia="Arial" w:hAnsi="Arial"/>
          <w:sz w:val="14"/>
          <w:szCs w:val="14"/>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36" w:lineRule="exact"/>
        <w:rPr>
          <w:sz w:val="20"/>
          <w:szCs w:val="20"/>
          <w:color w:val="auto"/>
        </w:rPr>
      </w:pPr>
    </w:p>
    <w:p>
      <w:pPr>
        <w:ind w:left="640" w:right="699" w:firstLine="443"/>
        <w:spacing w:after="0" w:line="254" w:lineRule="auto"/>
        <w:rPr>
          <w:sz w:val="20"/>
          <w:szCs w:val="20"/>
          <w:color w:val="auto"/>
        </w:rPr>
      </w:pPr>
      <w:r>
        <w:rPr>
          <w:rFonts w:ascii="Arial" w:cs="Arial" w:eastAsia="Arial" w:hAnsi="Arial"/>
          <w:sz w:val="14"/>
          <w:szCs w:val="14"/>
          <w:color w:val="auto"/>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spending substantial amounts of cash to advance our current and future preclinical and clinical development programs and seek regulatory approval for our product candidates.</w:t>
      </w:r>
    </w:p>
    <w:p>
      <w:pPr>
        <w:spacing w:after="0" w:line="49"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As of December 31, 2025, we had $216.6 million in cash, cash equivalents and marketable securities. We expect that the net proceeds from this offering, together with our existing cash, cash equivalents and short-term marketable securities will be sufficient to fund our operations into           . We have based this estimate on assumptions that may prove to be wrong, and we could utilize our available capital resources sooner than we expect. Additionally, because the design and outcome of our planned and anticipated preclinical studies and clinical trials are highly uncertain, we cannot reasonably estimate the actual amounts necessary to successfully complete the development and commercialization of any product candidate.</w:t>
      </w:r>
    </w:p>
    <w:p>
      <w:pPr>
        <w:spacing w:after="0" w:line="54" w:lineRule="exact"/>
        <w:rPr>
          <w:sz w:val="20"/>
          <w:szCs w:val="20"/>
          <w:color w:val="auto"/>
        </w:rPr>
      </w:pPr>
    </w:p>
    <w:p>
      <w:pPr>
        <w:ind w:left="640" w:right="1159" w:firstLine="443"/>
        <w:spacing w:after="0" w:line="282" w:lineRule="auto"/>
        <w:rPr>
          <w:sz w:val="20"/>
          <w:szCs w:val="20"/>
          <w:color w:val="auto"/>
        </w:rPr>
      </w:pPr>
      <w:r>
        <w:rPr>
          <w:rFonts w:ascii="Arial" w:cs="Arial" w:eastAsia="Arial" w:hAnsi="Arial"/>
          <w:sz w:val="14"/>
          <w:szCs w:val="14"/>
          <w:color w:val="auto"/>
        </w:rPr>
        <w:t>Our future capital requirements will depend on, and could increase significantly as a result of, many factors, including:</w:t>
      </w:r>
    </w:p>
    <w:p>
      <w:pPr>
        <w:spacing w:after="0" w:line="30" w:lineRule="exact"/>
        <w:rPr>
          <w:sz w:val="20"/>
          <w:szCs w:val="20"/>
          <w:color w:val="auto"/>
        </w:rPr>
      </w:pPr>
    </w:p>
    <w:p>
      <w:pPr>
        <w:ind w:left="1260" w:right="819" w:hanging="179"/>
        <w:spacing w:after="0" w:line="260" w:lineRule="auto"/>
        <w:tabs>
          <w:tab w:leader="none" w:pos="126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the scope, progress, results and costs of drug discovery, preclinical development, laboratory testing and planned clinical trials for our current or future product candidates, including additional expenses attributable to adjusting our development plans;</w:t>
      </w:r>
    </w:p>
    <w:p>
      <w:pPr>
        <w:spacing w:after="0" w:line="45"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the scope, prioritization and number of our research and development programs and clinical trials required for regulatory approval of our current or future product candidates;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timing and outcome of regulatory review of our current or future product candidates;</w:t>
      </w:r>
    </w:p>
    <w:p>
      <w:pPr>
        <w:spacing w:after="0" w:line="96"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establish or maintain collaboration or license agreements and the achievement of milestones or occurrence of other developments that trigger payments under any existing or additional collaboration or license agreements;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739" w:hanging="179"/>
        <w:spacing w:after="0" w:line="260"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associated with acquiring or licensing additional product candidates, technologies or assets, including the timing and amount of any milestones, royalties or other payments due in connection with acquisitions and licenses;</w:t>
      </w:r>
    </w:p>
    <w:p>
      <w:pPr>
        <w:spacing w:after="0" w:line="45" w:lineRule="exact"/>
        <w:rPr>
          <w:rFonts w:ascii="Times New Roman" w:cs="Times New Roman" w:eastAsia="Times New Roman" w:hAnsi="Times New Roman"/>
          <w:sz w:val="14"/>
          <w:szCs w:val="14"/>
          <w:color w:val="auto"/>
        </w:rPr>
      </w:pPr>
    </w:p>
    <w:p>
      <w:pPr>
        <w:ind w:left="1260" w:right="1039" w:hanging="179"/>
        <w:spacing w:after="0" w:line="281"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of preparing, filing and prosecuting patent applications, maintaining and enforcing our intellectual property rights and defending intellectual property-related claims;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cost of continuing to invest in our suite of tools and drug discovery efforts to identify novel targets and drugs;</w:t>
      </w:r>
    </w:p>
    <w:p>
      <w:pPr>
        <w:spacing w:after="0" w:line="96" w:lineRule="exact"/>
        <w:rPr>
          <w:rFonts w:ascii="Times New Roman" w:cs="Times New Roman" w:eastAsia="Times New Roman" w:hAnsi="Times New Roman"/>
          <w:sz w:val="14"/>
          <w:szCs w:val="14"/>
          <w:color w:val="auto"/>
        </w:rPr>
      </w:pPr>
    </w:p>
    <w:p>
      <w:pPr>
        <w:ind w:left="1260" w:right="1299" w:hanging="179"/>
        <w:spacing w:after="0" w:line="281"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potential increase in the number of our employees or expansion of our physical facilities to support preclinical studies and clinical trials;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associated with being a public company;</w:t>
      </w:r>
    </w:p>
    <w:p>
      <w:pPr>
        <w:spacing w:after="0" w:line="96" w:lineRule="exact"/>
        <w:rPr>
          <w:rFonts w:ascii="Times New Roman" w:cs="Times New Roman" w:eastAsia="Times New Roman" w:hAnsi="Times New Roman"/>
          <w:sz w:val="14"/>
          <w:szCs w:val="14"/>
          <w:color w:val="auto"/>
        </w:rPr>
      </w:pPr>
    </w:p>
    <w:p>
      <w:pPr>
        <w:ind w:left="1260" w:right="979" w:hanging="179"/>
        <w:spacing w:after="0" w:line="254"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w:t>
      </w:r>
    </w:p>
    <w:p>
      <w:pPr>
        <w:spacing w:after="0" w:line="48"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effect of competing technological and market developments;</w:t>
      </w:r>
    </w:p>
    <w:p>
      <w:pPr>
        <w:spacing w:after="0" w:line="96" w:lineRule="exact"/>
        <w:rPr>
          <w:rFonts w:ascii="Times New Roman" w:cs="Times New Roman" w:eastAsia="Times New Roman" w:hAnsi="Times New Roman"/>
          <w:sz w:val="14"/>
          <w:szCs w:val="14"/>
          <w:color w:val="auto"/>
        </w:rPr>
      </w:pPr>
    </w:p>
    <w:p>
      <w:pPr>
        <w:ind w:left="1260" w:right="739" w:hanging="179"/>
        <w:spacing w:after="0" w:line="281"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and timing of future commercialization activities, including marketing, sales and distribution, for any of our product candidates for which we receive marketing approval;</w:t>
      </w:r>
    </w:p>
    <w:p>
      <w:pPr>
        <w:spacing w:after="0" w:line="30" w:lineRule="exact"/>
        <w:rPr>
          <w:rFonts w:ascii="Times New Roman" w:cs="Times New Roman" w:eastAsia="Times New Roman" w:hAnsi="Times New Roman"/>
          <w:sz w:val="14"/>
          <w:szCs w:val="14"/>
          <w:color w:val="auto"/>
        </w:rPr>
      </w:pPr>
    </w:p>
    <w:p>
      <w:pPr>
        <w:ind w:left="1260" w:right="979" w:hanging="179"/>
        <w:spacing w:after="0" w:line="281"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 of revenue, if any, received from commercial sales of our product candidates, should any of our product candidates receive marketing approval;</w:t>
      </w:r>
    </w:p>
    <w:p>
      <w:pPr>
        <w:spacing w:after="0" w:line="30" w:lineRule="exact"/>
        <w:rPr>
          <w:rFonts w:ascii="Times New Roman" w:cs="Times New Roman" w:eastAsia="Times New Roman" w:hAnsi="Times New Roman"/>
          <w:sz w:val="14"/>
          <w:szCs w:val="14"/>
          <w:color w:val="auto"/>
        </w:rPr>
      </w:pPr>
    </w:p>
    <w:p>
      <w:pPr>
        <w:ind w:left="1260" w:right="1019" w:hanging="179"/>
        <w:spacing w:after="0" w:line="281"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achieve sufficient market acceptance, coverage and adequate reimbursement from third-party payors and adequate market share and revenue for any approved products;</w:t>
      </w:r>
    </w:p>
    <w:p>
      <w:pPr>
        <w:spacing w:after="0" w:line="30" w:lineRule="exact"/>
        <w:rPr>
          <w:rFonts w:ascii="Times New Roman" w:cs="Times New Roman" w:eastAsia="Times New Roman" w:hAnsi="Times New Roman"/>
          <w:sz w:val="14"/>
          <w:szCs w:val="14"/>
          <w:color w:val="auto"/>
        </w:rPr>
      </w:pPr>
    </w:p>
    <w:p>
      <w:pPr>
        <w:ind w:left="1260" w:right="919" w:hanging="179"/>
        <w:spacing w:after="0" w:line="281"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patients’ willingness to pay out-of-pocket for any approved products in the absence of coverage or adequate reimbursement from third-party payors; and</w:t>
      </w:r>
    </w:p>
    <w:p>
      <w:pPr>
        <w:spacing w:after="0" w:line="30" w:lineRule="exact"/>
        <w:rPr>
          <w:rFonts w:ascii="Times New Roman" w:cs="Times New Roman" w:eastAsia="Times New Roman" w:hAnsi="Times New Roman"/>
          <w:sz w:val="14"/>
          <w:szCs w:val="14"/>
          <w:color w:val="auto"/>
        </w:rPr>
      </w:pPr>
    </w:p>
    <w:p>
      <w:pPr>
        <w:ind w:left="1260" w:right="779" w:hanging="179"/>
        <w:spacing w:after="0" w:line="281" w:lineRule="auto"/>
        <w:tabs>
          <w:tab w:leader="none" w:pos="126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the impact of inflation, as well as other factors, including economic uncertainty and geopolitical tensions, which may exacerbate the magnitude of the factors discussed above.</w:t>
      </w:r>
    </w:p>
    <w:p>
      <w:pPr>
        <w:spacing w:after="0" w:line="30"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Until such time as we can generate significant revenue from sales of our product candidates, if ever,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p>
    <w:p>
      <w:pPr>
        <w:spacing w:after="0" w:line="142" w:lineRule="exact"/>
        <w:rPr>
          <w:sz w:val="20"/>
          <w:szCs w:val="20"/>
          <w:color w:val="auto"/>
        </w:rPr>
      </w:pPr>
    </w:p>
    <w:p>
      <w:pPr>
        <w:ind w:left="640" w:right="1259"/>
        <w:spacing w:after="0" w:line="288"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20" w:lineRule="exact"/>
        <w:rPr>
          <w:sz w:val="20"/>
          <w:szCs w:val="20"/>
          <w:color w:val="auto"/>
        </w:rPr>
      </w:pPr>
    </w:p>
    <w:p>
      <w:pPr>
        <w:ind w:left="640" w:right="819" w:firstLine="443"/>
        <w:spacing w:after="0" w:line="247" w:lineRule="auto"/>
        <w:rPr>
          <w:sz w:val="20"/>
          <w:szCs w:val="20"/>
          <w:color w:val="auto"/>
        </w:rPr>
      </w:pPr>
      <w:r>
        <w:rPr>
          <w:rFonts w:ascii="Arial" w:cs="Arial" w:eastAsia="Arial" w:hAnsi="Arial"/>
          <w:sz w:val="14"/>
          <w:szCs w:val="14"/>
          <w:color w:val="auto"/>
        </w:rPr>
        <w:t>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54" w:lineRule="exact"/>
        <w:rPr>
          <w:sz w:val="20"/>
          <w:szCs w:val="20"/>
          <w:color w:val="auto"/>
        </w:rPr>
      </w:pPr>
    </w:p>
    <w:p>
      <w:pPr>
        <w:ind w:left="640" w:right="699" w:firstLine="443"/>
        <w:spacing w:after="0" w:line="254" w:lineRule="auto"/>
        <w:rPr>
          <w:sz w:val="20"/>
          <w:szCs w:val="20"/>
          <w:color w:val="auto"/>
        </w:rPr>
      </w:pPr>
      <w:r>
        <w:rPr>
          <w:rFonts w:ascii="Arial" w:cs="Arial" w:eastAsia="Arial" w:hAnsi="Arial"/>
          <w:sz w:val="14"/>
          <w:szCs w:val="14"/>
          <w:color w:val="auto"/>
        </w:rPr>
        <w:t>If we raise funds by entering into collaborations, strategic alliances or licensing arrangements with third parties, we may have to relinquish additional valuable rights to our technologies, future revenue streams, research programs or product candidates, or grant licenses on terms that may not be favorable to us, any of which may harm our business, financial condition, results of operations and prospects.</w:t>
      </w:r>
    </w:p>
    <w:p>
      <w:pPr>
        <w:spacing w:after="0" w:line="49" w:lineRule="exact"/>
        <w:rPr>
          <w:sz w:val="20"/>
          <w:szCs w:val="20"/>
          <w:color w:val="auto"/>
        </w:rPr>
      </w:pPr>
    </w:p>
    <w:p>
      <w:pPr>
        <w:jc w:val="both"/>
        <w:ind w:left="640" w:right="759" w:firstLine="443"/>
        <w:spacing w:after="0" w:line="254" w:lineRule="auto"/>
        <w:rPr>
          <w:sz w:val="20"/>
          <w:szCs w:val="20"/>
          <w:color w:val="auto"/>
        </w:rPr>
      </w:pPr>
      <w:r>
        <w:rPr>
          <w:rFonts w:ascii="Arial" w:cs="Arial" w:eastAsia="Arial" w:hAnsi="Arial"/>
          <w:sz w:val="14"/>
          <w:szCs w:val="14"/>
          <w:color w:val="auto"/>
        </w:rPr>
        <w:t>Further,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financial condition, results of operations and prospects.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659"/>
        <w:spacing w:after="0" w:line="252" w:lineRule="auto"/>
        <w:rPr>
          <w:sz w:val="20"/>
          <w:szCs w:val="20"/>
          <w:color w:val="auto"/>
        </w:rPr>
      </w:pPr>
      <w:r>
        <w:rPr>
          <w:rFonts w:ascii="Arial" w:cs="Arial" w:eastAsia="Arial" w:hAnsi="Arial"/>
          <w:sz w:val="14"/>
          <w:szCs w:val="14"/>
          <w:b w:val="1"/>
          <w:bCs w:val="1"/>
          <w:i w:val="1"/>
          <w:iCs w:val="1"/>
          <w:color w:val="auto"/>
        </w:rPr>
        <w:t>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4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We currently have no products approved for commercial sale or for which regulatory approval to market has been sought. We have invested the majority of our efforts and financial resources in the development of our product candidates and development programs,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then successfully commercialize our product candidates, which may never occur.</w:t>
      </w:r>
    </w:p>
    <w:p>
      <w:pPr>
        <w:spacing w:after="0" w:line="54"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can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spacing w:after="0" w:line="54" w:lineRule="exact"/>
        <w:rPr>
          <w:sz w:val="20"/>
          <w:szCs w:val="20"/>
          <w:color w:val="auto"/>
        </w:rPr>
      </w:pPr>
    </w:p>
    <w:p>
      <w:pPr>
        <w:ind w:left="640" w:right="719" w:firstLine="443"/>
        <w:spacing w:after="0" w:line="246" w:lineRule="auto"/>
        <w:rPr>
          <w:sz w:val="20"/>
          <w:szCs w:val="20"/>
          <w:color w:val="auto"/>
        </w:rPr>
      </w:pPr>
      <w:r>
        <w:rPr>
          <w:rFonts w:ascii="Arial" w:cs="Arial" w:eastAsia="Arial" w:hAnsi="Arial"/>
          <w:sz w:val="14"/>
          <w:szCs w:val="14"/>
          <w:color w:val="auto"/>
        </w:rPr>
        <w:t>Even if our product candidates are successful in clinical trials, we will not be permitted to market or promote any of our product candidates until we receive regulatory approval from the U.S. Food and Drug Administration, or the FDA, or comparable foreign regulatory authorities, and we may never receive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54" w:lineRule="exact"/>
        <w:rPr>
          <w:sz w:val="20"/>
          <w:szCs w:val="20"/>
          <w:color w:val="auto"/>
        </w:rPr>
      </w:pPr>
    </w:p>
    <w:p>
      <w:pPr>
        <w:ind w:left="640" w:right="759" w:firstLine="443"/>
        <w:spacing w:after="0" w:line="250" w:lineRule="auto"/>
        <w:rPr>
          <w:sz w:val="20"/>
          <w:szCs w:val="20"/>
          <w:color w:val="auto"/>
        </w:rPr>
      </w:pPr>
      <w:r>
        <w:rPr>
          <w:rFonts w:ascii="Arial" w:cs="Arial" w:eastAsia="Arial" w:hAnsi="Arial"/>
          <w:sz w:val="14"/>
          <w:szCs w:val="14"/>
          <w:color w:val="auto"/>
        </w:rPr>
        <w:t>The FDA or comparable foreign regulatory authorities may also consider their approvals of competing products concurrently with their review of our investigational new drug applications, or INDs, clinical trial applications, or CTAs,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INDs, CTAs or other submissions.</w:t>
      </w:r>
    </w:p>
    <w:p>
      <w:pPr>
        <w:spacing w:after="0" w:line="53" w:lineRule="exact"/>
        <w:rPr>
          <w:sz w:val="20"/>
          <w:szCs w:val="20"/>
          <w:color w:val="auto"/>
        </w:rPr>
      </w:pPr>
    </w:p>
    <w:p>
      <w:pPr>
        <w:ind w:left="640" w:right="899" w:firstLine="443"/>
        <w:spacing w:after="0" w:line="282" w:lineRule="auto"/>
        <w:rPr>
          <w:sz w:val="20"/>
          <w:szCs w:val="20"/>
          <w:color w:val="auto"/>
        </w:rPr>
      </w:pPr>
      <w:r>
        <w:rPr>
          <w:rFonts w:ascii="Arial" w:cs="Arial" w:eastAsia="Arial" w:hAnsi="Arial"/>
          <w:sz w:val="14"/>
          <w:szCs w:val="14"/>
          <w:color w:val="auto"/>
        </w:rPr>
        <w:t>If our product candidates are approved for marketing by applicable regulatory authorities, our ability to generate revenue from any approved products will depend on our ability to:</w:t>
      </w:r>
    </w:p>
    <w:p>
      <w:pPr>
        <w:spacing w:after="0" w:line="30" w:lineRule="exact"/>
        <w:rPr>
          <w:sz w:val="20"/>
          <w:szCs w:val="20"/>
          <w:color w:val="auto"/>
        </w:rPr>
      </w:pPr>
    </w:p>
    <w:p>
      <w:pPr>
        <w:ind w:left="1260" w:right="839" w:hanging="179"/>
        <w:spacing w:after="0" w:line="281"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receive regulatory approval for the targeted patient populations and claims that are necessary or desirable for successful marketing;</w:t>
      </w:r>
    </w:p>
    <w:p>
      <w:pPr>
        <w:spacing w:after="0" w:line="30" w:lineRule="exact"/>
        <w:rPr>
          <w:rFonts w:ascii="Times New Roman" w:cs="Times New Roman" w:eastAsia="Times New Roman" w:hAnsi="Times New Roman"/>
          <w:sz w:val="14"/>
          <w:szCs w:val="14"/>
          <w:color w:val="auto"/>
        </w:rPr>
      </w:pPr>
    </w:p>
    <w:p>
      <w:pPr>
        <w:ind w:left="1260" w:right="919" w:hanging="179"/>
        <w:spacing w:after="0" w:line="281"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manufacture products through contract manufacturing organizations, or CMOs, in sufficient quantities and at acceptable quality and manufacturing cost to meet commercial demand at launch and thereafter;</w:t>
      </w:r>
    </w:p>
    <w:p>
      <w:pPr>
        <w:spacing w:after="0" w:line="30"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price our products competitively such that third-party and government reimbursement supports broad product adoption;</w:t>
      </w:r>
    </w:p>
    <w:p>
      <w:pPr>
        <w:spacing w:after="0" w:line="30" w:lineRule="exact"/>
        <w:rPr>
          <w:rFonts w:ascii="Times New Roman" w:cs="Times New Roman" w:eastAsia="Times New Roman" w:hAnsi="Times New Roman"/>
          <w:sz w:val="14"/>
          <w:szCs w:val="14"/>
          <w:color w:val="auto"/>
        </w:rPr>
      </w:pPr>
    </w:p>
    <w:p>
      <w:pPr>
        <w:ind w:left="1260" w:right="1039" w:hanging="179"/>
        <w:spacing w:after="0" w:line="281"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demonstrate the superiority of our products compared to the standard of care, as well as other therapies in development;</w:t>
      </w:r>
    </w:p>
    <w:p>
      <w:pPr>
        <w:spacing w:after="0" w:line="30" w:lineRule="exact"/>
        <w:rPr>
          <w:rFonts w:ascii="Times New Roman" w:cs="Times New Roman" w:eastAsia="Times New Roman" w:hAnsi="Times New Roman"/>
          <w:sz w:val="14"/>
          <w:szCs w:val="14"/>
          <w:color w:val="auto"/>
        </w:rPr>
      </w:pPr>
    </w:p>
    <w:p>
      <w:pPr>
        <w:ind w:left="1260" w:right="1359" w:hanging="179"/>
        <w:spacing w:after="0" w:line="281"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create market demand for our products through our own marketing and sales activities, and any other arrangements to promote these products that we may otherwise establish;</w:t>
      </w:r>
    </w:p>
    <w:p>
      <w:pPr>
        <w:spacing w:after="0" w:line="30" w:lineRule="exact"/>
        <w:rPr>
          <w:rFonts w:ascii="Times New Roman" w:cs="Times New Roman" w:eastAsia="Times New Roman" w:hAnsi="Times New Roman"/>
          <w:sz w:val="14"/>
          <w:szCs w:val="14"/>
          <w:color w:val="auto"/>
        </w:rPr>
      </w:pPr>
    </w:p>
    <w:p>
      <w:pPr>
        <w:ind w:left="1260" w:right="1439" w:hanging="179"/>
        <w:spacing w:after="0" w:line="281"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establish and maintain agreements with wholesalers, distributors, pharmacies and group purchasing organizations on commercially reasonable terms;</w:t>
      </w:r>
    </w:p>
    <w:p>
      <w:pPr>
        <w:spacing w:after="0" w:line="30"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obtain, maintain, protect and enforce patent and other intellectual property rights and regulatory exclusivity for our products;</w:t>
      </w:r>
    </w:p>
    <w:p>
      <w:pPr>
        <w:spacing w:after="0" w:line="30" w:lineRule="exact"/>
        <w:rPr>
          <w:rFonts w:ascii="Times New Roman" w:cs="Times New Roman" w:eastAsia="Times New Roman" w:hAnsi="Times New Roman"/>
          <w:sz w:val="14"/>
          <w:szCs w:val="14"/>
          <w:color w:val="auto"/>
        </w:rPr>
      </w:pPr>
    </w:p>
    <w:p>
      <w:pPr>
        <w:ind w:left="1260" w:right="719" w:hanging="179"/>
        <w:spacing w:after="0" w:line="260" w:lineRule="auto"/>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maintain compliance with applicable laws, regulations and guidance specific to commercialization, including interactions with healthcare professionals, patient advocacy groups and communication of healthcare economic information to payors and formularies;</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5"/>
        </w:numPr>
        <w:rPr>
          <w:rFonts w:ascii="Times New Roman" w:cs="Times New Roman" w:eastAsia="Times New Roman" w:hAnsi="Times New Roman"/>
          <w:sz w:val="14"/>
          <w:szCs w:val="14"/>
          <w:color w:val="auto"/>
        </w:rPr>
      </w:pPr>
      <w:r>
        <w:rPr>
          <w:rFonts w:ascii="Arial" w:cs="Arial" w:eastAsia="Arial" w:hAnsi="Arial"/>
          <w:sz w:val="14"/>
          <w:szCs w:val="14"/>
          <w:color w:val="auto"/>
        </w:rPr>
        <w:t>achieve market acceptance of our products by patients, the medical community and third-party payors;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759" w:hanging="179"/>
        <w:spacing w:after="0" w:line="281" w:lineRule="auto"/>
        <w:tabs>
          <w:tab w:leader="none" w:pos="1260" w:val="left"/>
        </w:tabs>
        <w:numPr>
          <w:ilvl w:val="0"/>
          <w:numId w:val="16"/>
        </w:numPr>
        <w:rPr>
          <w:rFonts w:ascii="Times New Roman" w:cs="Times New Roman" w:eastAsia="Times New Roman" w:hAnsi="Times New Roman"/>
          <w:sz w:val="14"/>
          <w:szCs w:val="14"/>
          <w:color w:val="auto"/>
        </w:rPr>
      </w:pPr>
      <w:r>
        <w:rPr>
          <w:rFonts w:ascii="Arial" w:cs="Arial" w:eastAsia="Arial" w:hAnsi="Arial"/>
          <w:sz w:val="14"/>
          <w:szCs w:val="14"/>
          <w:color w:val="auto"/>
        </w:rPr>
        <w:t>maintain a distribution and logistics network capable of product storage within our specifications and regulatory guidelines, and further capable of timely product delivery to commercial clinical sites; and</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6"/>
        </w:numPr>
        <w:rPr>
          <w:rFonts w:ascii="Times New Roman" w:cs="Times New Roman" w:eastAsia="Times New Roman" w:hAnsi="Times New Roman"/>
          <w:sz w:val="14"/>
          <w:szCs w:val="14"/>
          <w:color w:val="auto"/>
        </w:rPr>
      </w:pPr>
      <w:r>
        <w:rPr>
          <w:rFonts w:ascii="Arial" w:cs="Arial" w:eastAsia="Arial" w:hAnsi="Arial"/>
          <w:sz w:val="14"/>
          <w:szCs w:val="14"/>
          <w:color w:val="auto"/>
        </w:rPr>
        <w:t>ensure that our product will be used as directed and that additional unexpected safety risks will not arise.</w:t>
      </w:r>
    </w:p>
    <w:p>
      <w:pPr>
        <w:spacing w:after="0" w:line="184" w:lineRule="exact"/>
        <w:rPr>
          <w:sz w:val="20"/>
          <w:szCs w:val="20"/>
          <w:color w:val="auto"/>
        </w:rPr>
      </w:pPr>
    </w:p>
    <w:p>
      <w:pPr>
        <w:ind w:left="640" w:right="659"/>
        <w:spacing w:after="0" w:line="288" w:lineRule="auto"/>
        <w:rPr>
          <w:sz w:val="20"/>
          <w:szCs w:val="20"/>
          <w:color w:val="auto"/>
        </w:rPr>
      </w:pPr>
      <w:r>
        <w:rPr>
          <w:rFonts w:ascii="Arial" w:cs="Arial" w:eastAsia="Arial" w:hAnsi="Arial"/>
          <w:sz w:val="14"/>
          <w:szCs w:val="14"/>
          <w:b w:val="1"/>
          <w:bCs w:val="1"/>
          <w:i w:val="1"/>
          <w:iCs w:val="1"/>
          <w:color w:val="auto"/>
        </w:rPr>
        <w:t>Our management has concluded that there is substantial doubt as to our ability to continue as a going concern. If we cannot continue as a going concern, our stockholders may lose some or all of their investment.</w:t>
      </w:r>
    </w:p>
    <w:p>
      <w:pPr>
        <w:spacing w:after="0" w:line="20" w:lineRule="exact"/>
        <w:rPr>
          <w:sz w:val="20"/>
          <w:szCs w:val="20"/>
          <w:color w:val="auto"/>
        </w:rPr>
      </w:pPr>
    </w:p>
    <w:p>
      <w:pPr>
        <w:ind w:left="640" w:right="719" w:firstLine="443"/>
        <w:spacing w:after="0" w:line="242" w:lineRule="auto"/>
        <w:rPr>
          <w:sz w:val="20"/>
          <w:szCs w:val="20"/>
          <w:color w:val="auto"/>
        </w:rPr>
      </w:pPr>
      <w:r>
        <w:rPr>
          <w:rFonts w:ascii="Arial" w:cs="Arial" w:eastAsia="Arial" w:hAnsi="Arial"/>
          <w:sz w:val="14"/>
          <w:szCs w:val="14"/>
          <w:color w:val="auto"/>
        </w:rPr>
        <w:t>Our audited consolidated financial statements included elsewhere in this prospectus were prepared assuming that we will continue as a going concern. The going concern basis of presentation assumes that we will continue in operation for the foreseeable future and will be able to realize our assets and satisfy our liabilities in the normal course of business and do not include any adjustments to reflect the possible future effects on the recoverability and classification of assets or amounts and classification of liabilities that may result from our inability to continue as a going concern. As reflected in the audited consolidated financial statements, we have incurred significant operating losses in the past, and we expect to continue to incur significant operating losses and negative cash flows for the foreseeable future. To date, we have relied primarily on preferred stock financings to fund our operations. For the years ended December 31, 2025 and 2024, we reported a net loss of $148.6 million and $ 129.3 million, respectively. As of December 31, 2025, we had an accumulated deficit of $568.1 million. Our management concluded that, based on our expected operating losses and negative cash flows, there is substantial doubt about our ability to continue as a going concern for the 12 months after the date our audited consolidated financial statements were issued. After this offering, we expect to continue raising additional financing and may not achieve the funding we require such that substantial doubt about our ability to continue as a going concern continues. Changing circumstances, some of which may be beyond our control, could cause us to consume capital significantly faster than we currently anticipate, and we may need to seek additional funds sooner than planned.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 If we cannot continue as a going concern, our stockholders may lose some or all of their investment in us.</w:t>
      </w:r>
    </w:p>
    <w:p>
      <w:pPr>
        <w:spacing w:after="0" w:line="150" w:lineRule="exact"/>
        <w:rPr>
          <w:sz w:val="20"/>
          <w:szCs w:val="20"/>
          <w:color w:val="auto"/>
        </w:rPr>
      </w:pPr>
    </w:p>
    <w:p>
      <w:pPr>
        <w:ind w:left="640" w:right="739"/>
        <w:spacing w:after="0" w:line="264" w:lineRule="auto"/>
        <w:rPr>
          <w:sz w:val="20"/>
          <w:szCs w:val="20"/>
          <w:color w:val="auto"/>
        </w:rPr>
      </w:pPr>
      <w:r>
        <w:rPr>
          <w:rFonts w:ascii="Arial" w:cs="Arial" w:eastAsia="Arial" w:hAnsi="Arial"/>
          <w:sz w:val="14"/>
          <w:szCs w:val="14"/>
          <w:b w:val="1"/>
          <w:bCs w:val="1"/>
          <w:i w:val="1"/>
          <w:iCs w:val="1"/>
          <w:color w:val="auto"/>
        </w:rPr>
        <w:t>Our business entails a significant risk of product liability and an inability to obtain sufficient insurance coverage for those or other claims could adversely affect our business, financial condition, results of operations and prospects.</w:t>
      </w:r>
    </w:p>
    <w:p>
      <w:pPr>
        <w:spacing w:after="0" w:line="36"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As we conduct preclinical studies and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an investigation by the FDA or comparable foreign regulatory authorities focused on the safety and efficacy of our current or future product candidates, our manufacturing processes and facilities or our marketing programs. Such an investigation may potentially result in a recall of our products or a more serious enforcement action, limitations on the approved indications for which the product may be used or suspension or withdrawal of approvals. Regardless of the merits or eventual outcome, product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w:t>
      </w:r>
    </w:p>
    <w:p>
      <w:pPr>
        <w:spacing w:after="0" w:line="141" w:lineRule="exact"/>
        <w:rPr>
          <w:sz w:val="20"/>
          <w:szCs w:val="20"/>
          <w:color w:val="auto"/>
        </w:rPr>
      </w:pPr>
    </w:p>
    <w:p>
      <w:pPr>
        <w:ind w:left="640" w:right="879"/>
        <w:spacing w:after="0" w:line="288" w:lineRule="auto"/>
        <w:rPr>
          <w:sz w:val="20"/>
          <w:szCs w:val="20"/>
          <w:color w:val="auto"/>
        </w:rPr>
      </w:pPr>
      <w:r>
        <w:rPr>
          <w:rFonts w:ascii="Arial" w:cs="Arial" w:eastAsia="Arial" w:hAnsi="Arial"/>
          <w:sz w:val="14"/>
          <w:szCs w:val="14"/>
          <w:b w:val="1"/>
          <w:bCs w:val="1"/>
          <w:i w:val="1"/>
          <w:iCs w:val="1"/>
          <w:color w:val="auto"/>
        </w:rPr>
        <w:t>Our future success depends on our ability to retain and to continue to receive adequate attention from our key leaders, as well as on our ability to attract, retain and motivate qualified personnel.</w:t>
      </w:r>
    </w:p>
    <w:p>
      <w:pPr>
        <w:spacing w:after="0" w:line="20" w:lineRule="exact"/>
        <w:rPr>
          <w:sz w:val="20"/>
          <w:szCs w:val="20"/>
          <w:color w:val="auto"/>
        </w:rPr>
      </w:pPr>
    </w:p>
    <w:p>
      <w:pPr>
        <w:ind w:left="640" w:right="679" w:firstLine="516"/>
        <w:spacing w:after="0" w:line="245" w:lineRule="auto"/>
        <w:rPr>
          <w:sz w:val="20"/>
          <w:szCs w:val="20"/>
          <w:color w:val="auto"/>
        </w:rPr>
      </w:pPr>
      <w:r>
        <w:rPr>
          <w:rFonts w:ascii="Arial" w:cs="Arial" w:eastAsia="Arial" w:hAnsi="Arial"/>
          <w:sz w:val="14"/>
          <w:szCs w:val="14"/>
          <w:color w:val="auto"/>
        </w:rPr>
        <w:t>We are highly dependent upon Gary D. Glick, Ph.D., our founder, President and Chief Executive Officer, and Jeffrey M. Leiden, M.D., Ph.D., the Chair of our board of directors, and losing the services of either of these individuals could delay or prevent the successful development of our product candidates, the initiation or completion of our preclinical studies and clinical trials or the commercialization of our product candidates. Dr. Glick’s employment agreement with us is terminable by him at will and, therefore, we may not be able to retain his services as expected. Dr. Leiden serves as a director and must be re-elected by our stockholders to continue serving on our board of directors. He may also resign from service as a director at any time. In addition, because we do not currently maintain “key person” life insurance on the lives of our executives or any of our employees, we may not have adequate compensation for the loss of the services of these individuals.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739" w:firstLine="516"/>
        <w:spacing w:after="0" w:line="246" w:lineRule="auto"/>
        <w:rPr>
          <w:sz w:val="20"/>
          <w:szCs w:val="20"/>
          <w:color w:val="auto"/>
        </w:rPr>
      </w:pPr>
      <w:r>
        <w:rPr>
          <w:rFonts w:ascii="Arial" w:cs="Arial" w:eastAsia="Arial" w:hAnsi="Arial"/>
          <w:sz w:val="14"/>
          <w:szCs w:val="14"/>
          <w:color w:val="auto"/>
        </w:rPr>
        <w:t>Our success also depends on our ability to continue to receive adequate attention from our key leaders as we execute on our growth strategy. For example, in addition to his services to Odyssey as CEO, Dr. Glick began serving as Executive Chair of Charm Therapeutics Limited, or Charm, a biotechnology company focused on developing a new generation of menin inhibitors for acute myeloid leukemia, in January 2022. While, to date, the amount of time Dr. Glick has devoted to Charm has not changed, Dr. Glick became interim CEO of Charm in June 2025. It is possible that, in the future, unforeseen developments at Charm could require Dr. Glick to divert his attention for a period of time from his role at Odyssey in order to fulfill his responsibilities at Charm. None of our other key leaders currently has an outside role that we believe could detract from their ability to fulfill their ongoing responsibilities to us.</w:t>
      </w:r>
    </w:p>
    <w:p>
      <w:pPr>
        <w:spacing w:after="0" w:line="87" w:lineRule="exact"/>
        <w:rPr>
          <w:sz w:val="20"/>
          <w:szCs w:val="20"/>
          <w:color w:val="auto"/>
        </w:rPr>
      </w:pPr>
    </w:p>
    <w:p>
      <w:pPr>
        <w:ind w:left="640" w:right="879" w:firstLine="516"/>
        <w:spacing w:after="0" w:line="250" w:lineRule="auto"/>
        <w:rPr>
          <w:sz w:val="20"/>
          <w:szCs w:val="20"/>
          <w:color w:val="auto"/>
        </w:rPr>
      </w:pPr>
      <w:r>
        <w:rPr>
          <w:rFonts w:ascii="Arial" w:cs="Arial" w:eastAsia="Arial" w:hAnsi="Arial"/>
          <w:sz w:val="14"/>
          <w:szCs w:val="14"/>
          <w:color w:val="auto"/>
        </w:rPr>
        <w:t>Finally, 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particularly in the greater Boston area.</w:t>
      </w:r>
    </w:p>
    <w:p>
      <w:pPr>
        <w:spacing w:after="0" w:line="74" w:lineRule="exact"/>
        <w:rPr>
          <w:sz w:val="20"/>
          <w:szCs w:val="20"/>
          <w:color w:val="auto"/>
        </w:rPr>
      </w:pPr>
    </w:p>
    <w:p>
      <w:pPr>
        <w:ind w:left="640" w:right="959" w:firstLine="516"/>
        <w:spacing w:after="0" w:line="250" w:lineRule="auto"/>
        <w:rPr>
          <w:sz w:val="20"/>
          <w:szCs w:val="20"/>
          <w:color w:val="auto"/>
        </w:rPr>
      </w:pPr>
      <w:r>
        <w:rPr>
          <w:rFonts w:ascii="Arial" w:cs="Arial" w:eastAsia="Arial" w:hAnsi="Arial"/>
          <w:sz w:val="14"/>
          <w:szCs w:val="14"/>
          <w:color w:val="auto"/>
        </w:rPr>
        <w:t>If we are not able to attract, integrate, retain and motivate necessary personnel to accomplish our business objectives, or if members of our team are required to devote substantial amounts of time to other professional responsibilities that limit their ability to devote necessary time to our affairs, we may experience constraints that significantly impede the achievement of our business objectives, our ability to raise additional capital and our ability to implement our business strategy.</w:t>
      </w:r>
    </w:p>
    <w:p>
      <w:pPr>
        <w:spacing w:after="0" w:line="141" w:lineRule="exact"/>
        <w:rPr>
          <w:sz w:val="20"/>
          <w:szCs w:val="20"/>
          <w:color w:val="auto"/>
        </w:rPr>
      </w:pPr>
    </w:p>
    <w:p>
      <w:pPr>
        <w:ind w:left="640" w:right="659"/>
        <w:spacing w:after="0" w:line="272" w:lineRule="auto"/>
        <w:rPr>
          <w:sz w:val="20"/>
          <w:szCs w:val="20"/>
          <w:color w:val="auto"/>
        </w:rPr>
      </w:pPr>
      <w:r>
        <w:rPr>
          <w:rFonts w:ascii="Arial" w:cs="Arial" w:eastAsia="Arial" w:hAnsi="Arial"/>
          <w:sz w:val="14"/>
          <w:szCs w:val="14"/>
          <w:b w:val="1"/>
          <w:bCs w:val="1"/>
          <w:i w:val="1"/>
          <w:iCs w:val="1"/>
          <w:color w:val="auto"/>
        </w:rPr>
        <w:t>We will need to grow our organization, and we may experience difficulties in managing our growth and expanding our operations, which could adversely affect our business, financial condition, results of operations and prospects.</w:t>
      </w:r>
    </w:p>
    <w:p>
      <w:pPr>
        <w:spacing w:after="0" w:line="202"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As of March 31, 2026, we had 100 full-time employees. As our development and commercialization plans and strategies progress, and as we transition into operating as a public company, we expect to expand our employee base for managerial, operational, financial and other resources. In addition,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spacing w:after="0" w:line="144" w:lineRule="exact"/>
        <w:rPr>
          <w:sz w:val="20"/>
          <w:szCs w:val="20"/>
          <w:color w:val="auto"/>
        </w:rPr>
      </w:pPr>
    </w:p>
    <w:p>
      <w:pPr>
        <w:ind w:left="640" w:right="819"/>
        <w:spacing w:after="0" w:line="264" w:lineRule="auto"/>
        <w:rPr>
          <w:sz w:val="20"/>
          <w:szCs w:val="20"/>
          <w:color w:val="auto"/>
        </w:rPr>
      </w:pPr>
      <w:r>
        <w:rPr>
          <w:rFonts w:ascii="Arial" w:cs="Arial" w:eastAsia="Arial" w:hAnsi="Arial"/>
          <w:sz w:val="14"/>
          <w:szCs w:val="14"/>
          <w:b w:val="1"/>
          <w:bCs w:val="1"/>
          <w:i w:val="1"/>
          <w:iCs w:val="1"/>
          <w:color w:val="auto"/>
        </w:rPr>
        <w:t>Our employees, independent contractors, consultants, commercial partners and vendors may engage in misconduct or other improper activities, including noncompliance with regulatory standards and requirements, which could adversely affect our business, financial condition, results of operations and prospects.</w:t>
      </w:r>
    </w:p>
    <w:p>
      <w:pPr>
        <w:spacing w:after="0" w:line="36"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We are exposed to the risk of fraud or other misconduct by our employees, contractors and partners.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spacing w:after="0" w:line="55" w:lineRule="exact"/>
        <w:rPr>
          <w:sz w:val="20"/>
          <w:szCs w:val="20"/>
          <w:color w:val="auto"/>
        </w:rPr>
      </w:pPr>
    </w:p>
    <w:p>
      <w:pPr>
        <w:ind w:left="640" w:right="659" w:firstLine="443"/>
        <w:spacing w:after="0" w:line="251" w:lineRule="auto"/>
        <w:rPr>
          <w:sz w:val="20"/>
          <w:szCs w:val="20"/>
          <w:color w:val="auto"/>
        </w:rPr>
      </w:pPr>
      <w:r>
        <w:rPr>
          <w:rFonts w:ascii="Arial" w:cs="Arial" w:eastAsia="Arial" w:hAnsi="Arial"/>
          <w:sz w:val="14"/>
          <w:szCs w:val="14"/>
          <w:color w:val="auto"/>
        </w:rPr>
        <w:t>In the normal course of business, we periodically enter into commercial, service, collaboration, licensing, consulting and other agreements that contain indemnification provisions. With respect to our commercial agreements, we sometimes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218"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If our obligations under an indemnification provision exceed or do not qualify for applicable insurance coverage or if we were denied insurance coverage, our business, financial condition, results of operations and prospects could be adversely affected. Similarly, if we are relying on a collaborator to indemnify us and the collaborator is denied insurance coverage or the indemnification obligation exceeds the applicable insurance coverage, and if the collaborator does not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39"/>
        <w:spacing w:after="0" w:line="282" w:lineRule="auto"/>
        <w:rPr>
          <w:sz w:val="20"/>
          <w:szCs w:val="20"/>
          <w:color w:val="auto"/>
        </w:rPr>
      </w:pPr>
      <w:r>
        <w:rPr>
          <w:rFonts w:ascii="Arial" w:cs="Arial" w:eastAsia="Arial" w:hAnsi="Arial"/>
          <w:sz w:val="14"/>
          <w:szCs w:val="14"/>
          <w:color w:val="auto"/>
        </w:rPr>
        <w:t>have other assets available to indemnify us, our business, financial condition, results of operations and prospects could be adversely affected.</w:t>
      </w:r>
    </w:p>
    <w:p>
      <w:pPr>
        <w:spacing w:after="0" w:line="118" w:lineRule="exact"/>
        <w:rPr>
          <w:sz w:val="20"/>
          <w:szCs w:val="20"/>
          <w:color w:val="auto"/>
        </w:rPr>
      </w:pPr>
    </w:p>
    <w:p>
      <w:pPr>
        <w:jc w:val="both"/>
        <w:ind w:left="640" w:right="699"/>
        <w:spacing w:after="0" w:line="264" w:lineRule="auto"/>
        <w:rPr>
          <w:sz w:val="20"/>
          <w:szCs w:val="20"/>
          <w:color w:val="auto"/>
        </w:rPr>
      </w:pPr>
      <w:r>
        <w:rPr>
          <w:rFonts w:ascii="Arial" w:cs="Arial" w:eastAsia="Arial" w:hAnsi="Arial"/>
          <w:sz w:val="14"/>
          <w:szCs w:val="14"/>
          <w:b w:val="1"/>
          <w:bCs w:val="1"/>
          <w:i w:val="1"/>
          <w:iCs w:val="1"/>
          <w:color w:val="auto"/>
        </w:rPr>
        <w:t>We may be required to make contingent or deferred payments to collaborators or in connection with acquisitions and in-licenses of technology. Such payments may have an adverse impact on our business, financial condition, results of operations and prospects.</w:t>
      </w:r>
    </w:p>
    <w:p>
      <w:pPr>
        <w:spacing w:after="0" w:line="36"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We have entered into, and may in the future enter into, collaborations, acquisitions and in-licensing arrangements that contemplate contingent or deferred payments. In the event we are deemed to have achieved certain milestones in connection with such contingent or deferred payments, we may be required to pay such amounts in full or in part. For example, if certain contingencies are satisfied, we may be required to make a payment of up to $30.0 million to the former shareholders of Rahko Limited, or Rahko, a company we acquired in 2021. Additionally, upon the achievement of certain development, commercial, regulatory and sales milestones for each of our NLRP1 and MDA5 programs, we may be required to pay up to $30.0 million in contingent payments once for each such program to the former members of IFM Discovery, LLC, or IFM, a company we acquired in 2022. See the section of this prospectus titled “</w:t>
      </w:r>
      <w:r>
        <w:rPr>
          <w:rFonts w:ascii="Arial" w:cs="Arial" w:eastAsia="Arial" w:hAnsi="Arial"/>
          <w:sz w:val="14"/>
          <w:szCs w:val="14"/>
          <w:i w:val="1"/>
          <w:iCs w:val="1"/>
          <w:color w:val="auto"/>
        </w:rPr>
        <w:t>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 of Financial Condition and Results of Operations—Contractual Obligations and Commitments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for additional information regarding our deferred consideration obligations. Contingent or deferred payments may have an adverse impact on our business, financial condition, results of operations and prospects.</w:t>
      </w:r>
    </w:p>
    <w:p>
      <w:pPr>
        <w:spacing w:after="0" w:line="145" w:lineRule="exact"/>
        <w:rPr>
          <w:sz w:val="20"/>
          <w:szCs w:val="20"/>
          <w:color w:val="auto"/>
        </w:rPr>
      </w:pPr>
    </w:p>
    <w:p>
      <w:pPr>
        <w:ind w:left="640" w:right="779"/>
        <w:spacing w:after="0" w:line="288" w:lineRule="auto"/>
        <w:rPr>
          <w:sz w:val="20"/>
          <w:szCs w:val="20"/>
          <w:color w:val="auto"/>
        </w:rPr>
      </w:pPr>
      <w:r>
        <w:rPr>
          <w:rFonts w:ascii="Arial" w:cs="Arial" w:eastAsia="Arial" w:hAnsi="Arial"/>
          <w:sz w:val="14"/>
          <w:szCs w:val="14"/>
          <w:b w:val="1"/>
          <w:bCs w:val="1"/>
          <w:i w:val="1"/>
          <w:iCs w:val="1"/>
          <w:color w:val="auto"/>
        </w:rPr>
        <w:t>We may become subject to litigation, which could result in substantial costs and divert management’s attention and resources from our business.</w:t>
      </w:r>
    </w:p>
    <w:p>
      <w:pPr>
        <w:spacing w:after="0" w:line="20" w:lineRule="exact"/>
        <w:rPr>
          <w:sz w:val="20"/>
          <w:szCs w:val="20"/>
          <w:color w:val="auto"/>
        </w:rPr>
      </w:pPr>
    </w:p>
    <w:p>
      <w:pPr>
        <w:ind w:left="640" w:right="739" w:firstLine="443"/>
        <w:spacing w:after="0" w:line="243" w:lineRule="auto"/>
        <w:rPr>
          <w:sz w:val="20"/>
          <w:szCs w:val="20"/>
          <w:color w:val="auto"/>
        </w:rPr>
      </w:pPr>
      <w:r>
        <w:rPr>
          <w:rFonts w:ascii="Arial" w:cs="Arial" w:eastAsia="Arial" w:hAnsi="Arial"/>
          <w:sz w:val="14"/>
          <w:szCs w:val="14"/>
          <w:color w:val="auto"/>
        </w:rPr>
        <w:t>From time to time, we may become involved in litigation or other legal proceedings relating to claims arising from the ordinary course of business or otherwise, including claims related to employment matters, security of patient and employee personal data, product liability, intellectual property rights and contractual relations with current or past collaborators or licensors. For example, we and the former shareholders of Rahko may disagree about whether this offering satisfies the contractual prerequisites that would require us to make a substantial contingent consideration payment to them. In the event of a disagreement, the former Rahko shareholders could seek to recover for non-payment through litigation. See the section of this prospectus titled “</w:t>
      </w:r>
      <w:r>
        <w:rPr>
          <w:rFonts w:ascii="Arial" w:cs="Arial" w:eastAsia="Arial" w:hAnsi="Arial"/>
          <w:sz w:val="14"/>
          <w:szCs w:val="14"/>
          <w:i w:val="1"/>
          <w:iCs w:val="1"/>
          <w:color w:val="auto"/>
        </w:rPr>
        <w:t>Management’s Discussion and Analysis of Financial Condition</w:t>
      </w:r>
      <w:r>
        <w:rPr>
          <w:rFonts w:ascii="Arial" w:cs="Arial" w:eastAsia="Arial" w:hAnsi="Arial"/>
          <w:sz w:val="14"/>
          <w:szCs w:val="14"/>
          <w:color w:val="auto"/>
        </w:rPr>
        <w:t xml:space="preserve"> </w:t>
      </w:r>
      <w:r>
        <w:rPr>
          <w:rFonts w:ascii="Arial" w:cs="Arial" w:eastAsia="Arial" w:hAnsi="Arial"/>
          <w:sz w:val="14"/>
          <w:szCs w:val="14"/>
          <w:i w:val="1"/>
          <w:iCs w:val="1"/>
          <w:color w:val="auto"/>
        </w:rPr>
        <w:t>and Results of Operations—Contractual Obligations and Commitments</w:t>
      </w:r>
      <w:r>
        <w:rPr>
          <w:rFonts w:ascii="Arial" w:cs="Arial" w:eastAsia="Arial" w:hAnsi="Arial"/>
          <w:sz w:val="14"/>
          <w:szCs w:val="14"/>
          <w:color w:val="auto"/>
        </w:rPr>
        <w:t>” for additional information regarding our</w:t>
      </w:r>
      <w:r>
        <w:rPr>
          <w:rFonts w:ascii="Arial" w:cs="Arial" w:eastAsia="Arial" w:hAnsi="Arial"/>
          <w:sz w:val="14"/>
          <w:szCs w:val="14"/>
          <w:i w:val="1"/>
          <w:iCs w:val="1"/>
          <w:color w:val="auto"/>
        </w:rPr>
        <w:t xml:space="preserve"> </w:t>
      </w:r>
      <w:r>
        <w:rPr>
          <w:rFonts w:ascii="Arial" w:cs="Arial" w:eastAsia="Arial" w:hAnsi="Arial"/>
          <w:sz w:val="14"/>
          <w:szCs w:val="14"/>
          <w:color w:val="auto"/>
        </w:rPr>
        <w:t>contingent consideration obligations.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spacing w:after="0" w:line="308" w:lineRule="exact"/>
        <w:rPr>
          <w:sz w:val="20"/>
          <w:szCs w:val="20"/>
          <w:color w:val="auto"/>
        </w:rPr>
      </w:pPr>
    </w:p>
    <w:p>
      <w:pPr>
        <w:ind w:left="640" w:right="779"/>
        <w:spacing w:after="0" w:line="288" w:lineRule="auto"/>
        <w:rPr>
          <w:sz w:val="20"/>
          <w:szCs w:val="20"/>
          <w:color w:val="auto"/>
        </w:rPr>
      </w:pPr>
      <w:r>
        <w:rPr>
          <w:rFonts w:ascii="Arial" w:cs="Arial" w:eastAsia="Arial" w:hAnsi="Arial"/>
          <w:sz w:val="14"/>
          <w:szCs w:val="14"/>
          <w:b w:val="1"/>
          <w:bCs w:val="1"/>
          <w:i w:val="1"/>
          <w:iCs w:val="1"/>
          <w:color w:val="auto"/>
        </w:rPr>
        <w:t>Our current operations are concentrated predominantly in two locations, and we or the third parties upon whom we depend may be adversely affected by natural or manmade disasters.</w:t>
      </w:r>
    </w:p>
    <w:p>
      <w:pPr>
        <w:spacing w:after="0" w:line="20"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Our current operations are concentrated predominantly in Boston, Massachusetts and Ann Arbor, Michigan. Any unplanned event, such as a flood, explosion,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contract research organizations, or CROs, or other third parties on whom we rely could cause delays in our clinical trials and may have a material and adverse effect on our ability to operate our business and have significant negative consequences on our financial condition, results of operations and prospects. If any such natural or manmade accidents or incidents occurred and prevented us from using our clinical sites, impacted clinical supply or the conduct of our clinical trials, damaged critical infrastructure, such as the manufacturing facilities of our third-party CMOs,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799"/>
        <w:spacing w:after="0" w:line="264" w:lineRule="auto"/>
        <w:rPr>
          <w:sz w:val="20"/>
          <w:szCs w:val="20"/>
          <w:color w:val="auto"/>
        </w:rPr>
      </w:pPr>
      <w:r>
        <w:rPr>
          <w:rFonts w:ascii="Arial" w:cs="Arial" w:eastAsia="Arial" w:hAnsi="Arial"/>
          <w:sz w:val="14"/>
          <w:szCs w:val="14"/>
          <w:b w:val="1"/>
          <w:bCs w:val="1"/>
          <w:i w:val="1"/>
          <w:iCs w:val="1"/>
          <w:color w:val="auto"/>
        </w:rPr>
        <w:t>Our artificial intelligence, or AI, and machine learning, or ML, platform leverages internal data as well as data from third parties. Defects in, or loss of access to, our databases or those of third parties may impair our ability to discover additional targets and develop our product candidates.</w:t>
      </w:r>
    </w:p>
    <w:p>
      <w:pPr>
        <w:spacing w:after="0" w:line="36"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We use our AI/ML platform to improve our target discovery programs by improving the hit finding and lead optimization process for our small-molecule product candidates. Our AI/ML platform accesses third-party databases. If access to this data is lost or limited, or if this data becomes outdated,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p>
    <w:p>
      <w:pPr>
        <w:spacing w:after="0" w:line="54"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Our proprietary software tools and data sets are inherently complex and may contain defects or errors. Errors may result from the interface of our hardware or proprietary software tools with our data or third-party systems and data. The risk of errors is particularly significant when new software or hardware is first introduced or when new versions or enhancements of existing software or hardware are implemented. Any errors, defects, disruptions or other performance problems with our software, hardware or data sets could hurt our ability to gather valuable insights that we intend to use to assist in developing our current and future product candidates and drive our drug discoveries. We outsource all of the core network infrastructure relating to our AI/ML platform to third-party hosting services. We have limited control, if any, over any of these third parties, and we cannot guarantee that such third-party providers will not experience system interruptions, outages or delays or deterioration in their performance.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w:t>
      </w:r>
    </w:p>
    <w:p>
      <w:pPr>
        <w:spacing w:after="0" w:line="57"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Furthermore, the development and use of AI/ML present various privacy and security risks that may impact our business. AI/ML are subject to privacy and data security laws, as well as increasing regulation and scrutiny. For example, several jurisdictions around the globe, including Europe and certain U.S. states, have proposed, enacted or are considering laws governing the development and use of AI/ML, such as the EU’s AI Act and the Colorado Artificial Intelligence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or retrain our AI/ML or prevent or limit our use of AI/ML. For example, the Federal Trade Commission, or the FTC, has required other companies to turn over (or disgorge) valuable insights or trainings generated through the use of AI/ML where they allege the company has violated privacy and consumer protection laws. If we cannot use AI/ML or our use is restricted, our preclinical research and development programs may be less efficient, or we may be at a competitive disadvantage.</w:t>
      </w:r>
    </w:p>
    <w:p>
      <w:pPr>
        <w:spacing w:after="0" w:line="63" w:lineRule="exact"/>
        <w:rPr>
          <w:sz w:val="20"/>
          <w:szCs w:val="20"/>
          <w:color w:val="auto"/>
        </w:rPr>
      </w:pPr>
    </w:p>
    <w:p>
      <w:pPr>
        <w:jc w:val="both"/>
        <w:ind w:left="640" w:right="759" w:firstLine="443"/>
        <w:spacing w:after="0" w:line="261" w:lineRule="auto"/>
        <w:rPr>
          <w:sz w:val="20"/>
          <w:szCs w:val="20"/>
          <w:color w:val="auto"/>
        </w:rPr>
      </w:pPr>
      <w:r>
        <w:rPr>
          <w:rFonts w:ascii="Arial" w:cs="Arial" w:eastAsia="Arial" w:hAnsi="Arial"/>
          <w:sz w:val="14"/>
          <w:szCs w:val="14"/>
          <w:color w:val="auto"/>
        </w:rPr>
        <w:t>The occurrence of any of these events could prevent us from leveraging our AI/ML capability and software to help us develop our product candidates more efficiently than existing industry tools and have a material adverse effect on our business, financial condition, results of operations or prospects.</w:t>
      </w:r>
    </w:p>
    <w:p>
      <w:pPr>
        <w:spacing w:after="0" w:line="132" w:lineRule="exact"/>
        <w:rPr>
          <w:sz w:val="20"/>
          <w:szCs w:val="20"/>
          <w:color w:val="auto"/>
        </w:rPr>
      </w:pPr>
    </w:p>
    <w:p>
      <w:pPr>
        <w:ind w:left="640" w:right="1119"/>
        <w:spacing w:after="0" w:line="288" w:lineRule="auto"/>
        <w:rPr>
          <w:sz w:val="20"/>
          <w:szCs w:val="20"/>
          <w:color w:val="auto"/>
        </w:rPr>
      </w:pPr>
      <w:r>
        <w:rPr>
          <w:rFonts w:ascii="Arial" w:cs="Arial" w:eastAsia="Arial" w:hAnsi="Arial"/>
          <w:sz w:val="14"/>
          <w:szCs w:val="14"/>
          <w:b w:val="1"/>
          <w:bCs w:val="1"/>
          <w:i w:val="1"/>
          <w:iCs w:val="1"/>
          <w:color w:val="auto"/>
        </w:rPr>
        <w:t>Unfavorable global economic conditions, including any adverse macroeconomic conditions or geopolitical events, could adversely affect our business, financial condition, results of operations or prospects.</w:t>
      </w:r>
    </w:p>
    <w:p>
      <w:pPr>
        <w:spacing w:after="0" w:line="20"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markets. The global credit and financial markets have experienced extreme volatility and disruptions in the past several years. A severe or prolonged economic downturn, or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continued market volatility or a general economic downturn could cause our stock price to decline.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If any of the banks that hold our cash deposits were to be placed into receivership, we may be unable to access our cash and cash equivalents and short-term marketable securities, which would adversely affect our business. In addition, if any of the third parties on whom we rely to conduct certain aspects of our preclinical studies or clinical trials are unable to access funds through certain financial institutions, such parties’ ability to fulfill their obligations to us could be adversely affected.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Risks Related to Research, Development and Commercialization</w:t>
      </w:r>
    </w:p>
    <w:p>
      <w:pPr>
        <w:spacing w:after="0" w:line="88" w:lineRule="exact"/>
        <w:rPr>
          <w:sz w:val="20"/>
          <w:szCs w:val="20"/>
          <w:color w:val="auto"/>
        </w:rPr>
      </w:pPr>
    </w:p>
    <w:p>
      <w:pPr>
        <w:jc w:val="both"/>
        <w:ind w:left="640" w:right="919"/>
        <w:spacing w:after="0" w:line="264" w:lineRule="auto"/>
        <w:rPr>
          <w:sz w:val="20"/>
          <w:szCs w:val="20"/>
          <w:color w:val="auto"/>
        </w:rPr>
      </w:pPr>
      <w:r>
        <w:rPr>
          <w:rFonts w:ascii="Arial" w:cs="Arial" w:eastAsia="Arial" w:hAnsi="Arial"/>
          <w:sz w:val="14"/>
          <w:szCs w:val="14"/>
          <w:b w:val="1"/>
          <w:bCs w:val="1"/>
          <w:i w:val="1"/>
          <w:iCs w:val="1"/>
          <w:color w:val="auto"/>
        </w:rPr>
        <w:t>Our two most advanced product candidates are currently in a phase 2a clinical trial and IND-enabling studies, respectively. We have never successfully completed any large-scale or pivotal clinical trials with our product candidates, and we may be unable to do so for any product candidates we develop.</w:t>
      </w:r>
    </w:p>
    <w:p>
      <w:pPr>
        <w:spacing w:after="0" w:line="36" w:lineRule="exact"/>
        <w:rPr>
          <w:sz w:val="20"/>
          <w:szCs w:val="20"/>
          <w:color w:val="auto"/>
        </w:rPr>
      </w:pPr>
    </w:p>
    <w:p>
      <w:pPr>
        <w:ind w:left="640" w:right="739" w:firstLine="443"/>
        <w:spacing w:after="0" w:line="242" w:lineRule="auto"/>
        <w:rPr>
          <w:sz w:val="20"/>
          <w:szCs w:val="20"/>
          <w:color w:val="auto"/>
        </w:rPr>
      </w:pPr>
      <w:r>
        <w:rPr>
          <w:rFonts w:ascii="Arial" w:cs="Arial" w:eastAsia="Arial" w:hAnsi="Arial"/>
          <w:sz w:val="14"/>
          <w:szCs w:val="14"/>
          <w:color w:val="auto"/>
        </w:rPr>
        <w:t>As of the date of this prospectus, we have only one product candidate in clinical development and our next most advanced product candidate is currently in IND-enabling studies. All of our other development programs are in the preclinical or drug discovery stage. Odyssey has not yet successfully completed any large-scale or pivotal clinical trials, obtained regulatory approvals, manufactured a commercial scale product (or arranged for a third party to do so on our behalf) or conducted sales and marketing activities necessary for successful commercialization of any of our product candidates. Odyssey’s experience conducting clinical trials with its product candidates is limited. Aside from OD-001, our product candidate currently in clinical development for the treatment of ulcerative colitis, or UC, all of our other development programs will need to progress through IND-enabling studies and receive authorization from the FDA or a comparable foreign regulatory authority to proceed under an IND, CTA or other submission prior to initiating clinical development. We may not be able to file INDs, CTAs or other submissions for any of our other product candidates on the timelines we expect, or at all. Even if we submit an IND, CTA or other submission for a product candidate, the FDA or a comparable foreign regulatory authority may not clear the IND, CTA or other submission and allow us to begin clinical trials in a timely manner or at all. The timing of submissions of INDs, CTAs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spacing w:after="0" w:line="225" w:lineRule="exact"/>
        <w:rPr>
          <w:sz w:val="20"/>
          <w:szCs w:val="20"/>
          <w:color w:val="auto"/>
        </w:rPr>
      </w:pPr>
    </w:p>
    <w:p>
      <w:pPr>
        <w:ind w:left="640" w:right="839" w:firstLine="443"/>
        <w:spacing w:after="0" w:line="254"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49" w:lineRule="exact"/>
        <w:rPr>
          <w:sz w:val="20"/>
          <w:szCs w:val="20"/>
          <w:color w:val="auto"/>
        </w:rPr>
      </w:pPr>
    </w:p>
    <w:p>
      <w:pPr>
        <w:ind w:left="1260" w:hanging="179"/>
        <w:spacing w:after="0"/>
        <w:tabs>
          <w:tab w:leader="none" w:pos="126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be delayed in obtaining marketing approval for our product candidates;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not obtain marketing approval at all;</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be subject to post-marketing requirements; or</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be required to have the product removed from the market after obtaining marketing approval.</w:t>
      </w:r>
    </w:p>
    <w:p>
      <w:pPr>
        <w:spacing w:after="0" w:line="184" w:lineRule="exact"/>
        <w:rPr>
          <w:sz w:val="20"/>
          <w:szCs w:val="20"/>
          <w:color w:val="auto"/>
        </w:rPr>
      </w:pPr>
    </w:p>
    <w:p>
      <w:pPr>
        <w:ind w:left="640" w:right="659"/>
        <w:spacing w:after="0" w:line="256" w:lineRule="auto"/>
        <w:rPr>
          <w:sz w:val="20"/>
          <w:szCs w:val="20"/>
          <w:color w:val="auto"/>
        </w:rPr>
      </w:pPr>
      <w:r>
        <w:rPr>
          <w:rFonts w:ascii="Arial" w:cs="Arial" w:eastAsia="Arial" w:hAnsi="Arial"/>
          <w:sz w:val="14"/>
          <w:szCs w:val="14"/>
          <w:b w:val="1"/>
          <w:bCs w:val="1"/>
          <w:i w:val="1"/>
          <w:iCs w:val="1"/>
          <w:color w:val="auto"/>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p>
    <w:p>
      <w:pPr>
        <w:spacing w:after="0" w:line="41" w:lineRule="exact"/>
        <w:rPr>
          <w:sz w:val="20"/>
          <w:szCs w:val="20"/>
          <w:color w:val="auto"/>
        </w:rPr>
      </w:pPr>
    </w:p>
    <w:p>
      <w:pPr>
        <w:ind w:left="640" w:right="739" w:firstLine="443"/>
        <w:spacing w:after="0" w:line="245" w:lineRule="auto"/>
        <w:rPr>
          <w:sz w:val="20"/>
          <w:szCs w:val="20"/>
          <w:color w:val="auto"/>
        </w:rPr>
      </w:pPr>
      <w:r>
        <w:rPr>
          <w:rFonts w:ascii="Arial" w:cs="Arial" w:eastAsia="Arial" w:hAnsi="Arial"/>
          <w:sz w:val="14"/>
          <w:szCs w:val="14"/>
          <w:color w:val="auto"/>
        </w:rPr>
        <w:t>All of our product candidates are either in preclinical development or, in the case of OD-001, in a phase 2a clinical trial. The risk that our product candidates fail to successfully proceed through clinical development is high. We expect it will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50" w:lineRule="auto"/>
        <w:rPr>
          <w:sz w:val="20"/>
          <w:szCs w:val="20"/>
          <w:color w:val="auto"/>
        </w:rPr>
      </w:pPr>
      <w:r>
        <w:rPr>
          <w:rFonts w:ascii="Arial" w:cs="Arial" w:eastAsia="Arial" w:hAnsi="Arial"/>
          <w:sz w:val="14"/>
          <w:szCs w:val="14"/>
          <w:color w:val="auto"/>
        </w:rPr>
        <w:t>Commencing any future clinical trials is subject to finalizing the trial design and submitting an application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w:t>
      </w:r>
    </w:p>
    <w:p>
      <w:pPr>
        <w:spacing w:after="0" w:line="53"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spacing w:after="0" w:line="53" w:lineRule="exact"/>
        <w:rPr>
          <w:sz w:val="20"/>
          <w:szCs w:val="20"/>
          <w:color w:val="auto"/>
        </w:rPr>
      </w:pPr>
    </w:p>
    <w:p>
      <w:pPr>
        <w:jc w:val="both"/>
        <w:ind w:left="1260" w:right="719" w:hanging="179"/>
        <w:spacing w:after="0" w:line="254" w:lineRule="auto"/>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regulators, such as the FDA or comparable foreign regulatory authorities,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spacing w:after="0" w:line="48" w:lineRule="exact"/>
        <w:rPr>
          <w:rFonts w:ascii="Times New Roman" w:cs="Times New Roman" w:eastAsia="Times New Roman" w:hAnsi="Times New Roman"/>
          <w:sz w:val="14"/>
          <w:szCs w:val="14"/>
          <w:color w:val="auto"/>
        </w:rPr>
      </w:pPr>
    </w:p>
    <w:p>
      <w:pPr>
        <w:ind w:left="1260" w:right="899" w:hanging="179"/>
        <w:spacing w:after="0" w:line="281" w:lineRule="auto"/>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delays in reaching, or failing to reach, agreement on acceptable terms with trial sites and CROs, the terms of which can be subject to extensive negotiation and may vary significantly;</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clinical trial sites deviating from trial protocol or dropping out of a trial;</w:t>
      </w:r>
    </w:p>
    <w:p>
      <w:pPr>
        <w:spacing w:after="0" w:line="96"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45"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the cost of clinical trials may be greater than we anticipate or we may have insufficient funds for a clinical trial or to pay the substantial user fees required by the FDA upon the submission of a biologic license application, or BLA, or new drug application, or NDA;</w:t>
      </w:r>
    </w:p>
    <w:p>
      <w:pPr>
        <w:spacing w:after="0" w:line="45" w:lineRule="exact"/>
        <w:rPr>
          <w:rFonts w:ascii="Times New Roman" w:cs="Times New Roman" w:eastAsia="Times New Roman" w:hAnsi="Times New Roman"/>
          <w:sz w:val="14"/>
          <w:szCs w:val="14"/>
          <w:color w:val="auto"/>
        </w:rPr>
      </w:pPr>
    </w:p>
    <w:p>
      <w:pPr>
        <w:ind w:left="1260" w:right="959" w:hanging="179"/>
        <w:spacing w:after="0" w:line="281" w:lineRule="auto"/>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the quality or quantity of data relating to our product candidates or other materials necessary to conduct our clinical trials may be inadequate to initiate or complete a given clinical trial;</w:t>
      </w:r>
    </w:p>
    <w:p>
      <w:pPr>
        <w:spacing w:after="0" w:line="30" w:lineRule="exact"/>
        <w:rPr>
          <w:rFonts w:ascii="Times New Roman" w:cs="Times New Roman" w:eastAsia="Times New Roman" w:hAnsi="Times New Roman"/>
          <w:sz w:val="14"/>
          <w:szCs w:val="14"/>
          <w:color w:val="auto"/>
        </w:rPr>
      </w:pPr>
    </w:p>
    <w:p>
      <w:pPr>
        <w:ind w:left="1260" w:right="1139" w:hanging="179"/>
        <w:spacing w:after="0" w:line="281" w:lineRule="auto"/>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reports from clinical testing of other therapies may raise safety, tolerability or efficacy concerns about our product candidates; and</w:t>
      </w:r>
    </w:p>
    <w:p>
      <w:pPr>
        <w:spacing w:after="0" w:line="30" w:lineRule="exact"/>
        <w:rPr>
          <w:rFonts w:ascii="Times New Roman" w:cs="Times New Roman" w:eastAsia="Times New Roman" w:hAnsi="Times New Roman"/>
          <w:sz w:val="14"/>
          <w:szCs w:val="14"/>
          <w:color w:val="auto"/>
        </w:rPr>
      </w:pPr>
    </w:p>
    <w:p>
      <w:pPr>
        <w:ind w:left="1260" w:right="759" w:hanging="179"/>
        <w:spacing w:after="0" w:line="254" w:lineRule="auto"/>
        <w:tabs>
          <w:tab w:leader="none" w:pos="126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48" w:lineRule="exact"/>
        <w:rPr>
          <w:sz w:val="20"/>
          <w:szCs w:val="20"/>
          <w:color w:val="auto"/>
        </w:rPr>
      </w:pPr>
    </w:p>
    <w:p>
      <w:pPr>
        <w:ind w:left="640" w:right="639" w:firstLine="443"/>
        <w:spacing w:after="0" w:line="248" w:lineRule="auto"/>
        <w:rPr>
          <w:sz w:val="20"/>
          <w:szCs w:val="20"/>
          <w:color w:val="auto"/>
        </w:rPr>
      </w:pPr>
      <w:r>
        <w:rPr>
          <w:rFonts w:ascii="Arial" w:cs="Arial" w:eastAsia="Arial" w:hAnsi="Arial"/>
          <w:sz w:val="14"/>
          <w:szCs w:val="14"/>
          <w:color w:val="auto"/>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54"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We could also encounter delays if a clinical trial is suspended, put on clinical hold or terminated by us, the IRBs of the institutions where such trials are being conducted, the FDA or comparable foreign regulatory authorities, or if a clinical trial is recommended for suspension or termination by a data safety monitoring board or data monitoring committee, or DSMB, for such trial. A suspension or termination may be imposed due to a number of factors, including failure to conduct the clinical trial in accordance with regulatory requirements or our clinical protocols, failure by our CROs to perform in accordance with good clinical practices, or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59" w:lineRule="exact"/>
        <w:rPr>
          <w:sz w:val="20"/>
          <w:szCs w:val="20"/>
          <w:color w:val="auto"/>
        </w:rPr>
      </w:pPr>
    </w:p>
    <w:p>
      <w:pPr>
        <w:jc w:val="center"/>
        <w:ind w:left="640" w:right="819"/>
        <w:spacing w:after="0" w:line="282" w:lineRule="auto"/>
        <w:rPr>
          <w:sz w:val="20"/>
          <w:szCs w:val="20"/>
          <w:color w:val="auto"/>
        </w:rPr>
      </w:pPr>
      <w:r>
        <w:rPr>
          <w:rFonts w:ascii="Arial" w:cs="Arial" w:eastAsia="Arial" w:hAnsi="Arial"/>
          <w:sz w:val="14"/>
          <w:szCs w:val="14"/>
          <w:color w:val="auto"/>
        </w:rPr>
        <w:t>We may also conduct preclinical and clinical research in collaboration with academic, pharmaceutical and biotechnology entities in which we combine our development efforts with those of our collaborators. Such collaborations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939"/>
        <w:spacing w:after="0" w:line="282" w:lineRule="auto"/>
        <w:rPr>
          <w:sz w:val="20"/>
          <w:szCs w:val="20"/>
          <w:color w:val="auto"/>
        </w:rPr>
      </w:pPr>
      <w:r>
        <w:rPr>
          <w:rFonts w:ascii="Arial" w:cs="Arial" w:eastAsia="Arial" w:hAnsi="Arial"/>
          <w:sz w:val="14"/>
          <w:szCs w:val="14"/>
          <w:color w:val="auto"/>
        </w:rPr>
        <w:t>may be subject to additional delays because of the management of the trials, contract negotiations, the need to obtain agreement from multiple parties and may increase our future costs and expenses.</w:t>
      </w:r>
    </w:p>
    <w:p>
      <w:pPr>
        <w:spacing w:after="0" w:line="30"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142" w:lineRule="exact"/>
        <w:rPr>
          <w:sz w:val="20"/>
          <w:szCs w:val="20"/>
          <w:color w:val="auto"/>
        </w:rPr>
      </w:pPr>
    </w:p>
    <w:p>
      <w:pPr>
        <w:jc w:val="both"/>
        <w:ind w:left="640" w:right="879"/>
        <w:spacing w:after="0" w:line="264" w:lineRule="auto"/>
        <w:rPr>
          <w:sz w:val="20"/>
          <w:szCs w:val="20"/>
          <w:color w:val="auto"/>
        </w:rPr>
      </w:pPr>
      <w:r>
        <w:rPr>
          <w:rFonts w:ascii="Arial" w:cs="Arial" w:eastAsia="Arial" w:hAnsi="Arial"/>
          <w:sz w:val="14"/>
          <w:szCs w:val="14"/>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or obtain limited regulatory approval, our business will be substantially harmed.</w:t>
      </w:r>
    </w:p>
    <w:p>
      <w:pPr>
        <w:spacing w:after="0" w:line="36"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spacing w:after="0" w:line="57"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Odyssey has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BLA from the FDA or similar marketing application in another jurisdiction. The FDA and other comparable foreign regulatory authorities may delay, limit or deny approval of our product candidates for many reasons, including:</w:t>
      </w:r>
    </w:p>
    <w:p>
      <w:pPr>
        <w:spacing w:after="0" w:line="54" w:lineRule="exact"/>
        <w:rPr>
          <w:sz w:val="20"/>
          <w:szCs w:val="20"/>
          <w:color w:val="auto"/>
        </w:rPr>
      </w:pPr>
    </w:p>
    <w:p>
      <w:pPr>
        <w:ind w:left="1260" w:right="1179" w:hanging="179"/>
        <w:spacing w:after="0" w:line="281"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we may not be able to demonstrate to the satisfaction of the FDA or other comparable foreign regulatory authorities that any of our product candidates are safe and effective for any indication;</w:t>
      </w:r>
    </w:p>
    <w:p>
      <w:pPr>
        <w:spacing w:after="0" w:line="30" w:lineRule="exact"/>
        <w:rPr>
          <w:rFonts w:ascii="Times New Roman" w:cs="Times New Roman" w:eastAsia="Times New Roman" w:hAnsi="Times New Roman"/>
          <w:sz w:val="14"/>
          <w:szCs w:val="14"/>
          <w:color w:val="auto"/>
        </w:rPr>
      </w:pPr>
    </w:p>
    <w:p>
      <w:pPr>
        <w:ind w:left="1260" w:right="659" w:hanging="179"/>
        <w:spacing w:after="0" w:line="281"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results of clinical trials may not meet the level of statistical significance or clinical significance required by the FDA or comparable foreign regulatory authorities for approval;</w:t>
      </w:r>
    </w:p>
    <w:p>
      <w:pPr>
        <w:spacing w:after="0" w:line="30" w:lineRule="exact"/>
        <w:rPr>
          <w:rFonts w:ascii="Times New Roman" w:cs="Times New Roman" w:eastAsia="Times New Roman" w:hAnsi="Times New Roman"/>
          <w:sz w:val="14"/>
          <w:szCs w:val="14"/>
          <w:color w:val="auto"/>
        </w:rPr>
      </w:pPr>
    </w:p>
    <w:p>
      <w:pPr>
        <w:ind w:left="1260" w:right="879" w:hanging="179"/>
        <w:spacing w:after="0" w:line="281"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FDA or comparable foreign regulatory authorities may disagree with the number, design, size, conduct or implementation of our clinical trials;</w:t>
      </w:r>
    </w:p>
    <w:p>
      <w:pPr>
        <w:spacing w:after="0" w:line="30" w:lineRule="exact"/>
        <w:rPr>
          <w:rFonts w:ascii="Times New Roman" w:cs="Times New Roman" w:eastAsia="Times New Roman" w:hAnsi="Times New Roman"/>
          <w:sz w:val="14"/>
          <w:szCs w:val="14"/>
          <w:color w:val="auto"/>
        </w:rPr>
      </w:pPr>
    </w:p>
    <w:p>
      <w:pPr>
        <w:ind w:left="1260" w:right="819" w:hanging="179"/>
        <w:spacing w:after="0" w:line="281"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FDA or comparable foreign regulatory authorities may not find the data from preclinical studies and clinical trials sufficient to demonstrate that the benefits of any of our product candidates outweigh their safety risks;</w:t>
      </w:r>
    </w:p>
    <w:p>
      <w:pPr>
        <w:spacing w:after="0" w:line="30" w:lineRule="exact"/>
        <w:rPr>
          <w:rFonts w:ascii="Times New Roman" w:cs="Times New Roman" w:eastAsia="Times New Roman" w:hAnsi="Times New Roman"/>
          <w:sz w:val="14"/>
          <w:szCs w:val="14"/>
          <w:color w:val="auto"/>
        </w:rPr>
      </w:pPr>
    </w:p>
    <w:p>
      <w:pPr>
        <w:ind w:left="1260" w:right="1319" w:hanging="179"/>
        <w:spacing w:after="0" w:line="281"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FDA or comparable foreign regulatory authorities may disagree with our interpretation of data from preclinical studies or clinical trials, or may not accept data generated at our clinical trial sites;</w:t>
      </w:r>
    </w:p>
    <w:p>
      <w:pPr>
        <w:spacing w:after="0" w:line="30" w:lineRule="exact"/>
        <w:rPr>
          <w:rFonts w:ascii="Times New Roman" w:cs="Times New Roman" w:eastAsia="Times New Roman" w:hAnsi="Times New Roman"/>
          <w:sz w:val="14"/>
          <w:szCs w:val="14"/>
          <w:color w:val="auto"/>
        </w:rPr>
      </w:pPr>
    </w:p>
    <w:p>
      <w:pPr>
        <w:ind w:left="1260" w:right="1219" w:hanging="179"/>
        <w:spacing w:after="0" w:line="281"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data collected from preclinical studies and clinical trials of any of our product candidates may not be sufficient to support the submission of an IND, CTA or other application for regulatory approval;</w:t>
      </w:r>
    </w:p>
    <w:p>
      <w:pPr>
        <w:spacing w:after="0" w:line="30" w:lineRule="exact"/>
        <w:rPr>
          <w:rFonts w:ascii="Times New Roman" w:cs="Times New Roman" w:eastAsia="Times New Roman" w:hAnsi="Times New Roman"/>
          <w:sz w:val="14"/>
          <w:szCs w:val="14"/>
          <w:color w:val="auto"/>
        </w:rPr>
      </w:pPr>
    </w:p>
    <w:p>
      <w:pPr>
        <w:ind w:left="1260" w:right="819" w:hanging="179"/>
        <w:spacing w:after="0" w:line="254"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48" w:lineRule="exact"/>
        <w:rPr>
          <w:rFonts w:ascii="Times New Roman" w:cs="Times New Roman" w:eastAsia="Times New Roman" w:hAnsi="Times New Roman"/>
          <w:sz w:val="14"/>
          <w:szCs w:val="14"/>
          <w:color w:val="auto"/>
        </w:rPr>
      </w:pPr>
    </w:p>
    <w:p>
      <w:pPr>
        <w:ind w:left="1260" w:right="739" w:hanging="179"/>
        <w:spacing w:after="0" w:line="260"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FDA may require development of a risk evaluation and mitigation strategy, or REMS, and foreign regulatory authorities may require a risk management plan, or RMP, as a condition of approval for new products, among other additional requirements;</w:t>
      </w:r>
    </w:p>
    <w:p>
      <w:pPr>
        <w:spacing w:after="0" w:line="45" w:lineRule="exact"/>
        <w:rPr>
          <w:rFonts w:ascii="Times New Roman" w:cs="Times New Roman" w:eastAsia="Times New Roman" w:hAnsi="Times New Roman"/>
          <w:sz w:val="14"/>
          <w:szCs w:val="14"/>
          <w:color w:val="auto"/>
        </w:rPr>
      </w:pPr>
    </w:p>
    <w:p>
      <w:pPr>
        <w:ind w:left="1260" w:right="819" w:hanging="179"/>
        <w:spacing w:after="0" w:line="260" w:lineRule="auto"/>
        <w:tabs>
          <w:tab w:leader="none" w:pos="1260" w:val="left"/>
        </w:tabs>
        <w:numPr>
          <w:ilvl w:val="0"/>
          <w:numId w:val="19"/>
        </w:numPr>
        <w:rPr>
          <w:rFonts w:ascii="Times New Roman" w:cs="Times New Roman" w:eastAsia="Times New Roman" w:hAnsi="Times New Roman"/>
          <w:sz w:val="14"/>
          <w:szCs w:val="14"/>
          <w:color w:val="auto"/>
        </w:rPr>
      </w:pPr>
      <w:r>
        <w:rPr>
          <w:rFonts w:ascii="Arial" w:cs="Arial" w:eastAsia="Arial" w:hAnsi="Arial"/>
          <w:sz w:val="14"/>
          <w:szCs w:val="14"/>
          <w:color w:val="auto"/>
        </w:rPr>
        <w:t>the FDA or comparable foreign regulatory authorities may identify deficiencies in the manufacturing processes or facilities of third-party manufacturers with which we enter into agreements for clinical and commercial supplies;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1319" w:hanging="179"/>
        <w:spacing w:after="0" w:line="281" w:lineRule="auto"/>
        <w:tabs>
          <w:tab w:leader="none" w:pos="1260" w:val="left"/>
        </w:tabs>
        <w:numPr>
          <w:ilvl w:val="0"/>
          <w:numId w:val="20"/>
        </w:numPr>
        <w:rPr>
          <w:rFonts w:ascii="Times New Roman" w:cs="Times New Roman" w:eastAsia="Times New Roman" w:hAnsi="Times New Roman"/>
          <w:sz w:val="14"/>
          <w:szCs w:val="14"/>
          <w:color w:val="auto"/>
        </w:rPr>
      </w:pPr>
      <w:r>
        <w:rPr>
          <w:rFonts w:ascii="Arial" w:cs="Arial" w:eastAsia="Arial" w:hAnsi="Arial"/>
          <w:sz w:val="14"/>
          <w:szCs w:val="14"/>
          <w:color w:val="auto"/>
        </w:rPr>
        <w:t>the FDA or comparable foreign regulatory authorities may change their approval policies or adopt new regulations; and</w:t>
      </w:r>
    </w:p>
    <w:p>
      <w:pPr>
        <w:spacing w:after="0" w:line="30" w:lineRule="exact"/>
        <w:rPr>
          <w:rFonts w:ascii="Times New Roman" w:cs="Times New Roman" w:eastAsia="Times New Roman" w:hAnsi="Times New Roman"/>
          <w:sz w:val="14"/>
          <w:szCs w:val="14"/>
          <w:color w:val="auto"/>
        </w:rPr>
      </w:pPr>
    </w:p>
    <w:p>
      <w:pPr>
        <w:ind w:left="1260" w:right="739" w:hanging="179"/>
        <w:spacing w:after="0" w:line="260" w:lineRule="auto"/>
        <w:tabs>
          <w:tab w:leader="none" w:pos="1260" w:val="left"/>
        </w:tabs>
        <w:numPr>
          <w:ilvl w:val="0"/>
          <w:numId w:val="20"/>
        </w:numPr>
        <w:rPr>
          <w:rFonts w:ascii="Times New Roman" w:cs="Times New Roman" w:eastAsia="Times New Roman" w:hAnsi="Times New Roman"/>
          <w:sz w:val="14"/>
          <w:szCs w:val="14"/>
          <w:color w:val="auto"/>
        </w:rPr>
      </w:pPr>
      <w:r>
        <w:rPr>
          <w:rFonts w:ascii="Arial" w:cs="Arial" w:eastAsia="Arial" w:hAnsi="Arial"/>
          <w:sz w:val="14"/>
          <w:szCs w:val="14"/>
          <w:color w:val="auto"/>
        </w:rPr>
        <w:t>the FDA or comparable foreign regulatory authorities may require simultaneous approval for both adults and for children and adolescents, which may delay approval, or we may have successful clinical trial results for adults but not children and adolescents, or vice versa.</w:t>
      </w:r>
    </w:p>
    <w:p>
      <w:pPr>
        <w:spacing w:after="0" w:line="45" w:lineRule="exact"/>
        <w:rPr>
          <w:sz w:val="20"/>
          <w:szCs w:val="20"/>
          <w:color w:val="auto"/>
        </w:rPr>
      </w:pPr>
    </w:p>
    <w:p>
      <w:pPr>
        <w:ind w:left="640" w:right="699" w:firstLine="443"/>
        <w:spacing w:after="0" w:line="246" w:lineRule="auto"/>
        <w:rPr>
          <w:sz w:val="20"/>
          <w:szCs w:val="20"/>
          <w:color w:val="auto"/>
        </w:rPr>
      </w:pPr>
      <w:r>
        <w:rPr>
          <w:rFonts w:ascii="Arial" w:cs="Arial" w:eastAsia="Arial" w:hAnsi="Arial"/>
          <w:sz w:val="14"/>
          <w:szCs w:val="14"/>
          <w:color w:val="auto"/>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p>
    <w:p>
      <w:pPr>
        <w:spacing w:after="0" w:line="219" w:lineRule="exact"/>
        <w:rPr>
          <w:sz w:val="20"/>
          <w:szCs w:val="20"/>
          <w:color w:val="auto"/>
        </w:rPr>
      </w:pPr>
    </w:p>
    <w:p>
      <w:pPr>
        <w:ind w:left="640" w:right="779" w:firstLine="443"/>
        <w:spacing w:after="0" w:line="248" w:lineRule="auto"/>
        <w:rPr>
          <w:sz w:val="20"/>
          <w:szCs w:val="20"/>
          <w:color w:val="auto"/>
        </w:rPr>
      </w:pPr>
      <w:r>
        <w:rPr>
          <w:rFonts w:ascii="Arial" w:cs="Arial" w:eastAsia="Arial" w:hAnsi="Arial"/>
          <w:sz w:val="14"/>
          <w:szCs w:val="14"/>
          <w:color w:val="auto"/>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RMP or comparable foreign risk management approaches. The FDA or comparable foreign regulatory authorities may not accept the labeling claims that we believe would be necessary or desirable for the successful commercialization of our product candidates.</w:t>
      </w:r>
    </w:p>
    <w:p>
      <w:pPr>
        <w:spacing w:after="0" w:line="54" w:lineRule="exact"/>
        <w:rPr>
          <w:sz w:val="20"/>
          <w:szCs w:val="20"/>
          <w:color w:val="auto"/>
        </w:rPr>
      </w:pPr>
    </w:p>
    <w:p>
      <w:pPr>
        <w:ind w:left="640" w:right="679" w:firstLine="443"/>
        <w:spacing w:after="0" w:line="261" w:lineRule="auto"/>
        <w:rPr>
          <w:sz w:val="20"/>
          <w:szCs w:val="20"/>
          <w:color w:val="auto"/>
        </w:rPr>
      </w:pPr>
      <w:r>
        <w:rPr>
          <w:rFonts w:ascii="Arial" w:cs="Arial" w:eastAsia="Arial" w:hAnsi="Arial"/>
          <w:sz w:val="14"/>
          <w:szCs w:val="14"/>
          <w:color w:val="auto"/>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p>
    <w:p>
      <w:pPr>
        <w:spacing w:after="0" w:line="44"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We are also subject to numerous foreign regulatory requirements governing the conduct of clinical trials, manufacturing and marketing authorization, pricing and third-party reimbursement, and may in the future become subject to additional ones.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42" w:lineRule="exact"/>
        <w:rPr>
          <w:sz w:val="20"/>
          <w:szCs w:val="20"/>
          <w:color w:val="auto"/>
        </w:rPr>
      </w:pPr>
    </w:p>
    <w:p>
      <w:pPr>
        <w:ind w:left="640" w:right="659"/>
        <w:spacing w:after="0" w:line="264" w:lineRule="auto"/>
        <w:rPr>
          <w:sz w:val="20"/>
          <w:szCs w:val="20"/>
          <w:color w:val="auto"/>
        </w:rPr>
      </w:pPr>
      <w:r>
        <w:rPr>
          <w:rFonts w:ascii="Arial" w:cs="Arial" w:eastAsia="Arial" w:hAnsi="Arial"/>
          <w:sz w:val="14"/>
          <w:szCs w:val="14"/>
          <w:b w:val="1"/>
          <w:bCs w:val="1"/>
          <w:i w:val="1"/>
          <w:iCs w:val="1"/>
          <w:color w:val="auto"/>
        </w:rPr>
        <w:t>If we encounter difficulties enrolling patients in clinical trials, our clinical development activities could be delayed or otherwise adversely affected, which could adversely affect our business, financial condition, results of operations and prospects.</w:t>
      </w:r>
    </w:p>
    <w:p>
      <w:pPr>
        <w:spacing w:after="0" w:line="36" w:lineRule="exact"/>
        <w:rPr>
          <w:sz w:val="20"/>
          <w:szCs w:val="20"/>
          <w:color w:val="auto"/>
        </w:rPr>
      </w:pPr>
    </w:p>
    <w:p>
      <w:pPr>
        <w:ind w:left="640" w:right="659" w:firstLine="443"/>
        <w:spacing w:after="0" w:line="249" w:lineRule="auto"/>
        <w:rPr>
          <w:sz w:val="20"/>
          <w:szCs w:val="20"/>
          <w:color w:val="auto"/>
        </w:rPr>
      </w:pPr>
      <w:r>
        <w:rPr>
          <w:rFonts w:ascii="Arial" w:cs="Arial" w:eastAsia="Arial" w:hAnsi="Arial"/>
          <w:sz w:val="14"/>
          <w:szCs w:val="14"/>
          <w:color w:val="auto"/>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217" w:lineRule="exact"/>
        <w:rPr>
          <w:sz w:val="20"/>
          <w:szCs w:val="20"/>
          <w:color w:val="auto"/>
        </w:rPr>
      </w:pPr>
    </w:p>
    <w:p>
      <w:pPr>
        <w:ind w:left="1260" w:hanging="179"/>
        <w:spacing w:after="0"/>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the size and nature of the patient population;</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the severity of the disease under investigation;</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eligibility criteria for the trial;</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the proximity of patients to clinical sites;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the design of the clinical protocol;</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the ability to obtain and maintain patient consents;</w:t>
      </w:r>
    </w:p>
    <w:p>
      <w:pPr>
        <w:spacing w:after="0" w:line="96" w:lineRule="exact"/>
        <w:rPr>
          <w:rFonts w:ascii="Times New Roman" w:cs="Times New Roman" w:eastAsia="Times New Roman" w:hAnsi="Times New Roman"/>
          <w:sz w:val="14"/>
          <w:szCs w:val="14"/>
          <w:color w:val="auto"/>
        </w:rPr>
      </w:pPr>
    </w:p>
    <w:p>
      <w:pPr>
        <w:ind w:left="1260" w:right="719" w:hanging="179"/>
        <w:spacing w:after="0" w:line="281" w:lineRule="auto"/>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in the case of a combination study with another product, the ability of such product to be used as a combination therapy;</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the ability to recruit clinical trial investigators with the appropriate competencies and experience;</w:t>
      </w:r>
    </w:p>
    <w:p>
      <w:pPr>
        <w:spacing w:after="0" w:line="96" w:lineRule="exact"/>
        <w:rPr>
          <w:rFonts w:ascii="Times New Roman" w:cs="Times New Roman" w:eastAsia="Times New Roman" w:hAnsi="Times New Roman"/>
          <w:sz w:val="14"/>
          <w:szCs w:val="14"/>
          <w:color w:val="auto"/>
        </w:rPr>
      </w:pPr>
    </w:p>
    <w:p>
      <w:pPr>
        <w:ind w:left="1260" w:right="879" w:hanging="179"/>
        <w:spacing w:after="0" w:line="281" w:lineRule="auto"/>
        <w:tabs>
          <w:tab w:leader="none" w:pos="12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the risk that patients enrolled in clinical trials will drop out of the trials before the administration of our product candidates or trial completion;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hanging="179"/>
        <w:spacing w:after="0"/>
        <w:tabs>
          <w:tab w:leader="none" w:pos="1260" w:val="left"/>
        </w:tabs>
        <w:numPr>
          <w:ilvl w:val="0"/>
          <w:numId w:val="22"/>
        </w:numPr>
        <w:rPr>
          <w:rFonts w:ascii="Times New Roman" w:cs="Times New Roman" w:eastAsia="Times New Roman" w:hAnsi="Times New Roman"/>
          <w:sz w:val="14"/>
          <w:szCs w:val="14"/>
          <w:color w:val="auto"/>
        </w:rPr>
      </w:pPr>
      <w:r>
        <w:rPr>
          <w:rFonts w:ascii="Arial" w:cs="Arial" w:eastAsia="Arial" w:hAnsi="Arial"/>
          <w:sz w:val="14"/>
          <w:szCs w:val="14"/>
          <w:color w:val="auto"/>
        </w:rPr>
        <w:t>the availability of competing clinical trials;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2"/>
        </w:numPr>
        <w:rPr>
          <w:rFonts w:ascii="Times New Roman" w:cs="Times New Roman" w:eastAsia="Times New Roman" w:hAnsi="Times New Roman"/>
          <w:sz w:val="14"/>
          <w:szCs w:val="14"/>
          <w:color w:val="auto"/>
        </w:rPr>
      </w:pPr>
      <w:r>
        <w:rPr>
          <w:rFonts w:ascii="Arial" w:cs="Arial" w:eastAsia="Arial" w:hAnsi="Arial"/>
          <w:sz w:val="14"/>
          <w:szCs w:val="14"/>
          <w:color w:val="auto"/>
        </w:rPr>
        <w:t>the availability of new drugs approved for the indication the clinical trial is investigating;</w:t>
      </w:r>
    </w:p>
    <w:p>
      <w:pPr>
        <w:spacing w:after="0" w:line="96"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22"/>
        </w:numPr>
        <w:rPr>
          <w:rFonts w:ascii="Times New Roman" w:cs="Times New Roman" w:eastAsia="Times New Roman" w:hAnsi="Times New Roman"/>
          <w:sz w:val="14"/>
          <w:szCs w:val="14"/>
          <w:color w:val="auto"/>
        </w:rPr>
      </w:pPr>
      <w:r>
        <w:rPr>
          <w:rFonts w:ascii="Arial" w:cs="Arial" w:eastAsia="Arial" w:hAnsi="Arial"/>
          <w:sz w:val="14"/>
          <w:szCs w:val="14"/>
          <w:color w:val="auto"/>
        </w:rPr>
        <w:t>clinicians’ and patients’ perceptions as to the potential advantages of the drug being studied in relation to other available therapies; and</w:t>
      </w:r>
    </w:p>
    <w:p>
      <w:pPr>
        <w:spacing w:after="0" w:line="30" w:lineRule="exact"/>
        <w:rPr>
          <w:rFonts w:ascii="Times New Roman" w:cs="Times New Roman" w:eastAsia="Times New Roman" w:hAnsi="Times New Roman"/>
          <w:sz w:val="14"/>
          <w:szCs w:val="14"/>
          <w:color w:val="auto"/>
        </w:rPr>
      </w:pPr>
    </w:p>
    <w:p>
      <w:pPr>
        <w:ind w:left="1260" w:right="799" w:hanging="179"/>
        <w:spacing w:after="0" w:line="260" w:lineRule="auto"/>
        <w:tabs>
          <w:tab w:leader="none" w:pos="1260" w:val="left"/>
        </w:tabs>
        <w:numPr>
          <w:ilvl w:val="0"/>
          <w:numId w:val="22"/>
        </w:numPr>
        <w:rPr>
          <w:rFonts w:ascii="Times New Roman" w:cs="Times New Roman" w:eastAsia="Times New Roman" w:hAnsi="Times New Roman"/>
          <w:sz w:val="14"/>
          <w:szCs w:val="14"/>
          <w:color w:val="auto"/>
        </w:rPr>
      </w:pPr>
      <w:r>
        <w:rPr>
          <w:rFonts w:ascii="Arial" w:cs="Arial" w:eastAsia="Arial" w:hAnsi="Arial"/>
          <w:sz w:val="14"/>
          <w:szCs w:val="14"/>
          <w:color w:val="auto"/>
        </w:rPr>
        <w:t>other factors outside of our control, such as the effects of global economic conditions and volatility in the credit and financial markets, inflationary pressures, the Russian invasion of Ukraine, the conflicts in the Middle East and other geopolitical conditions.</w:t>
      </w:r>
    </w:p>
    <w:p>
      <w:pPr>
        <w:spacing w:after="0" w:line="45"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For example, as of the date of this prospectus, we have enrolled patients in our phase 2a signal seeking trial for OD-001 at multiple sites, including sites in Ukraine. We are also considering, subject to the receipt of necessary approvals from the applicable regulatory authorities, enrolling patients at sites in the Middle East for future clinical trials. To the extent military conflicts, political unrest, unstable economic conditions or other events adversely impact our ability to enroll patients or complete enrollments in process or adversely impacts the ability of our suppliers to produce and distribute the supplies we need for our OD-001 phase 2a clinical trial or in future clinical trials, we may be required to enroll patients at other sites which could increase the cost or delay the timing for completing such trial.</w:t>
      </w:r>
    </w:p>
    <w:p>
      <w:pPr>
        <w:spacing w:after="0" w:line="54"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spacing w:after="0" w:line="55"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42" w:lineRule="exact"/>
        <w:rPr>
          <w:sz w:val="20"/>
          <w:szCs w:val="20"/>
          <w:color w:val="auto"/>
        </w:rPr>
      </w:pPr>
    </w:p>
    <w:p>
      <w:pPr>
        <w:ind w:left="640" w:right="879"/>
        <w:spacing w:after="0" w:line="252" w:lineRule="auto"/>
        <w:rPr>
          <w:sz w:val="20"/>
          <w:szCs w:val="20"/>
          <w:color w:val="auto"/>
        </w:rPr>
      </w:pPr>
      <w:r>
        <w:rPr>
          <w:rFonts w:ascii="Arial" w:cs="Arial" w:eastAsia="Arial" w:hAnsi="Arial"/>
          <w:sz w:val="14"/>
          <w:szCs w:val="14"/>
          <w:b w:val="1"/>
          <w:bCs w:val="1"/>
          <w:i w:val="1"/>
          <w:iCs w:val="1"/>
          <w:color w:val="auto"/>
        </w:rPr>
        <w:t>Positive results from preclinical studies and early clinical trials of our current or future product candidates are not necessarily predictive of the results of later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44"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In addition, the data from our preclinical comparison studies discussed in the section of this prospectus titled “</w:t>
      </w:r>
      <w:r>
        <w:rPr>
          <w:rFonts w:ascii="Arial" w:cs="Arial" w:eastAsia="Arial" w:hAnsi="Arial"/>
          <w:sz w:val="14"/>
          <w:szCs w:val="14"/>
          <w:i w:val="1"/>
          <w:iCs w:val="1"/>
          <w:color w:val="auto"/>
        </w:rPr>
        <w:t>Business</w:t>
      </w:r>
      <w:r>
        <w:rPr>
          <w:rFonts w:ascii="Arial" w:cs="Arial" w:eastAsia="Arial" w:hAnsi="Arial"/>
          <w:sz w:val="14"/>
          <w:szCs w:val="14"/>
          <w:color w:val="auto"/>
        </w:rPr>
        <w:t>” may not be replicated in clinical trials, and our competitors may advance different compounds than those we studied. For example, historical remission rates observed in early clinical trials are not necessarily indicative of remission rates observed in future placebo-controlled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979"/>
        <w:spacing w:after="0" w:line="261" w:lineRule="auto"/>
        <w:rPr>
          <w:sz w:val="20"/>
          <w:szCs w:val="20"/>
          <w:color w:val="auto"/>
        </w:rPr>
      </w:pPr>
      <w:r>
        <w:rPr>
          <w:rFonts w:ascii="Arial" w:cs="Arial" w:eastAsia="Arial" w:hAnsi="Arial"/>
          <w:sz w:val="14"/>
          <w:szCs w:val="14"/>
          <w:color w:val="auto"/>
        </w:rPr>
        <w:t>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44" w:lineRule="exact"/>
        <w:rPr>
          <w:sz w:val="20"/>
          <w:szCs w:val="20"/>
          <w:color w:val="auto"/>
        </w:rPr>
      </w:pPr>
    </w:p>
    <w:p>
      <w:pPr>
        <w:ind w:left="640" w:right="739" w:firstLine="443"/>
        <w:spacing w:after="0" w:line="245" w:lineRule="auto"/>
        <w:rPr>
          <w:sz w:val="20"/>
          <w:szCs w:val="20"/>
          <w:color w:val="auto"/>
        </w:rPr>
      </w:pPr>
      <w:r>
        <w:rPr>
          <w:rFonts w:ascii="Arial" w:cs="Arial" w:eastAsia="Arial" w:hAnsi="Arial"/>
          <w:sz w:val="14"/>
          <w:szCs w:val="14"/>
          <w:color w:val="auto"/>
        </w:rPr>
        <w:t>Our current RIPK2 phase 2a clinical trial utilizes an “open-label” trial design and we may utilize this for future clinical trials for this or future product candidates. An “open-label” clinical trial is one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44" w:lineRule="exact"/>
        <w:rPr>
          <w:sz w:val="20"/>
          <w:szCs w:val="20"/>
          <w:color w:val="auto"/>
        </w:rPr>
      </w:pPr>
    </w:p>
    <w:p>
      <w:pPr>
        <w:ind w:left="640" w:right="819"/>
        <w:spacing w:after="0" w:line="264" w:lineRule="auto"/>
        <w:rPr>
          <w:sz w:val="20"/>
          <w:szCs w:val="20"/>
          <w:color w:val="auto"/>
        </w:rPr>
      </w:pPr>
      <w:r>
        <w:rPr>
          <w:rFonts w:ascii="Arial" w:cs="Arial" w:eastAsia="Arial" w:hAnsi="Arial"/>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6"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57" w:lineRule="exact"/>
        <w:rPr>
          <w:sz w:val="20"/>
          <w:szCs w:val="20"/>
          <w:color w:val="auto"/>
        </w:rPr>
      </w:pPr>
    </w:p>
    <w:p>
      <w:pPr>
        <w:ind w:left="640" w:right="739" w:firstLine="443"/>
        <w:spacing w:after="0" w:line="250" w:lineRule="auto"/>
        <w:rPr>
          <w:sz w:val="20"/>
          <w:szCs w:val="20"/>
          <w:color w:val="auto"/>
        </w:rPr>
      </w:pPr>
      <w:r>
        <w:rPr>
          <w:rFonts w:ascii="Arial" w:cs="Arial" w:eastAsia="Arial" w:hAnsi="Arial"/>
          <w:sz w:val="14"/>
          <w:szCs w:val="14"/>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53"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value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or prospects.</w:t>
      </w:r>
    </w:p>
    <w:p>
      <w:pPr>
        <w:spacing w:after="0" w:line="144" w:lineRule="exact"/>
        <w:rPr>
          <w:sz w:val="20"/>
          <w:szCs w:val="20"/>
          <w:color w:val="auto"/>
        </w:rPr>
      </w:pPr>
    </w:p>
    <w:p>
      <w:pPr>
        <w:ind w:left="640" w:right="739"/>
        <w:spacing w:after="0" w:line="253" w:lineRule="auto"/>
        <w:rPr>
          <w:sz w:val="20"/>
          <w:szCs w:val="20"/>
          <w:color w:val="auto"/>
        </w:rPr>
      </w:pPr>
      <w:r>
        <w:rPr>
          <w:rFonts w:ascii="Arial" w:cs="Arial" w:eastAsia="Arial" w:hAnsi="Arial"/>
          <w:sz w:val="14"/>
          <w:szCs w:val="14"/>
          <w:b w:val="1"/>
          <w:bCs w:val="1"/>
          <w:i w:val="1"/>
          <w:iCs w:val="1"/>
          <w:color w:val="auto"/>
        </w:rPr>
        <w:t>Our approach to clinical development relies on developing product candidates across a number of inflammatory diseases. We may not be successful in our efforts to discover additional product candidates or 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210"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Given our broad approach seeking to identify multiple novel targets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919"/>
        <w:spacing w:after="0" w:line="288" w:lineRule="auto"/>
        <w:rPr>
          <w:sz w:val="20"/>
          <w:szCs w:val="20"/>
          <w:color w:val="auto"/>
        </w:rPr>
      </w:pPr>
      <w:r>
        <w:rPr>
          <w:rFonts w:ascii="Arial" w:cs="Arial" w:eastAsia="Arial" w:hAnsi="Arial"/>
          <w:sz w:val="14"/>
          <w:szCs w:val="14"/>
          <w:b w:val="1"/>
          <w:bCs w:val="1"/>
          <w:i w:val="1"/>
          <w:iCs w:val="1"/>
          <w:color w:val="auto"/>
        </w:rPr>
        <w:t>If our product candidates, if approved, do not achieve broad market acceptance, the revenue that we generate from their sales will be limited.</w:t>
      </w:r>
    </w:p>
    <w:p>
      <w:pPr>
        <w:spacing w:after="0" w:line="20" w:lineRule="exact"/>
        <w:rPr>
          <w:sz w:val="20"/>
          <w:szCs w:val="20"/>
          <w:color w:val="auto"/>
        </w:rPr>
      </w:pPr>
    </w:p>
    <w:p>
      <w:pPr>
        <w:ind w:left="640" w:right="859" w:firstLine="443"/>
        <w:spacing w:after="0" w:line="247" w:lineRule="auto"/>
        <w:rPr>
          <w:sz w:val="20"/>
          <w:szCs w:val="20"/>
          <w:color w:val="auto"/>
        </w:rPr>
      </w:pPr>
      <w:r>
        <w:rPr>
          <w:rFonts w:ascii="Arial" w:cs="Arial" w:eastAsia="Arial" w:hAnsi="Arial"/>
          <w:sz w:val="14"/>
          <w:szCs w:val="14"/>
          <w:color w:val="auto"/>
        </w:rPr>
        <w:t>We are currently developing product candidates targeting inflammatory bowel disease, or IBD, and a number of autoimmune diseases, including systemic lupus erythematosus. In the future, we may develop additional product candidates targeting a range of other inflammatory and autoimmune diseases. However, Odyssey has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54" w:lineRule="exact"/>
        <w:rPr>
          <w:sz w:val="20"/>
          <w:szCs w:val="20"/>
          <w:color w:val="auto"/>
        </w:rPr>
      </w:pPr>
    </w:p>
    <w:p>
      <w:pPr>
        <w:ind w:left="640" w:right="899" w:firstLine="443"/>
        <w:spacing w:after="0" w:line="282" w:lineRule="auto"/>
        <w:rPr>
          <w:sz w:val="20"/>
          <w:szCs w:val="20"/>
          <w:color w:val="auto"/>
        </w:rPr>
      </w:pPr>
      <w:r>
        <w:rPr>
          <w:rFonts w:ascii="Arial" w:cs="Arial" w:eastAsia="Arial" w:hAnsi="Arial"/>
          <w:sz w:val="14"/>
          <w:szCs w:val="14"/>
          <w:color w:val="auto"/>
        </w:rPr>
        <w:t>The degree of market acceptance of any of our product candidates will depend on a number of factors, some of which are beyond our control, including:</w:t>
      </w:r>
    </w:p>
    <w:p>
      <w:pPr>
        <w:spacing w:after="0" w:line="30" w:lineRule="exact"/>
        <w:rPr>
          <w:sz w:val="20"/>
          <w:szCs w:val="20"/>
          <w:color w:val="auto"/>
        </w:rPr>
      </w:pPr>
    </w:p>
    <w:p>
      <w:pPr>
        <w:ind w:left="1260" w:right="699" w:hanging="179"/>
        <w:spacing w:after="0" w:line="281" w:lineRule="auto"/>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safety, side effect profile, efficacy, tolerability, cost and ease of administration of our product candidates and any approved products we use as part of a combination treatment, if any;</w:t>
      </w:r>
    </w:p>
    <w:p>
      <w:pPr>
        <w:spacing w:after="0" w:line="30" w:lineRule="exact"/>
        <w:rPr>
          <w:rFonts w:ascii="Times New Roman" w:cs="Times New Roman" w:eastAsia="Times New Roman" w:hAnsi="Times New Roman"/>
          <w:sz w:val="14"/>
          <w:szCs w:val="14"/>
          <w:color w:val="auto"/>
        </w:rPr>
      </w:pPr>
    </w:p>
    <w:p>
      <w:pPr>
        <w:ind w:left="1260" w:right="799" w:hanging="179"/>
        <w:spacing w:after="0" w:line="281" w:lineRule="auto"/>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clinical indications for which the products are approved and the approved claims that we may make for the products;</w:t>
      </w:r>
    </w:p>
    <w:p>
      <w:pPr>
        <w:spacing w:after="0" w:line="30" w:lineRule="exact"/>
        <w:rPr>
          <w:rFonts w:ascii="Times New Roman" w:cs="Times New Roman" w:eastAsia="Times New Roman" w:hAnsi="Times New Roman"/>
          <w:sz w:val="14"/>
          <w:szCs w:val="14"/>
          <w:color w:val="auto"/>
        </w:rPr>
      </w:pPr>
    </w:p>
    <w:p>
      <w:pPr>
        <w:ind w:left="1260" w:right="1099" w:hanging="179"/>
        <w:spacing w:after="0" w:line="281" w:lineRule="auto"/>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limitations or warnings contained in the product’s FDA-approved labeling, including potential limitations or warnings for such products that may be more restrictive than other competitive products;</w:t>
      </w:r>
    </w:p>
    <w:p>
      <w:pPr>
        <w:spacing w:after="0" w:line="30" w:lineRule="exact"/>
        <w:rPr>
          <w:rFonts w:ascii="Times New Roman" w:cs="Times New Roman" w:eastAsia="Times New Roman" w:hAnsi="Times New Roman"/>
          <w:sz w:val="14"/>
          <w:szCs w:val="14"/>
          <w:color w:val="auto"/>
        </w:rPr>
      </w:pPr>
    </w:p>
    <w:p>
      <w:pPr>
        <w:ind w:left="1260" w:right="679" w:hanging="179"/>
        <w:spacing w:after="0" w:line="260" w:lineRule="auto"/>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distribution and use restrictions imposed by the FDA or comparable foreign regulatory authorities with respect to such product candidates or to which we agree as part of a mandatory REMS or RMP or voluntary risk management plan;</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changes in the standard of care for the targeted indications for such product candidates;</w:t>
      </w:r>
    </w:p>
    <w:p>
      <w:pPr>
        <w:spacing w:after="0" w:line="96" w:lineRule="exact"/>
        <w:rPr>
          <w:rFonts w:ascii="Times New Roman" w:cs="Times New Roman" w:eastAsia="Times New Roman" w:hAnsi="Times New Roman"/>
          <w:sz w:val="14"/>
          <w:szCs w:val="14"/>
          <w:color w:val="auto"/>
        </w:rPr>
      </w:pPr>
    </w:p>
    <w:p>
      <w:pPr>
        <w:ind w:left="1260" w:right="939" w:hanging="179"/>
        <w:spacing w:after="0" w:line="281" w:lineRule="auto"/>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availability of adequate coverage and reimbursement by third parties, such as insurance companies and other healthcare payors, and by government healthcare programs, including Medicare and Medicaid;</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extent and strength of our marketing and distribution of such product candidates;</w:t>
      </w:r>
    </w:p>
    <w:p>
      <w:pPr>
        <w:spacing w:after="0" w:line="96"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safety, efficacy and other potential advantages of, and availability of, alternative treatments already used or that may later be approved for any of our intended indications;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timing of market introduction of such product candidates, as well as competitive products;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reluctance of physicians to switch their patients’ current standard of care;</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extent and strength of our third-party manufacturer and supplier support;</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adverse publicity about our product or favorable publicity about competitive products; and</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potential product liability claims.</w:t>
      </w:r>
    </w:p>
    <w:p>
      <w:pPr>
        <w:spacing w:after="0" w:line="96"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42" w:lineRule="exact"/>
        <w:rPr>
          <w:sz w:val="20"/>
          <w:szCs w:val="20"/>
          <w:color w:val="auto"/>
        </w:rPr>
      </w:pPr>
    </w:p>
    <w:p>
      <w:pPr>
        <w:jc w:val="both"/>
        <w:ind w:left="640" w:right="839"/>
        <w:spacing w:after="0" w:line="264" w:lineRule="auto"/>
        <w:rPr>
          <w:sz w:val="20"/>
          <w:szCs w:val="20"/>
          <w:color w:val="auto"/>
        </w:rPr>
      </w:pPr>
      <w:r>
        <w:rPr>
          <w:rFonts w:ascii="Arial" w:cs="Arial" w:eastAsia="Arial" w:hAnsi="Arial"/>
          <w:sz w:val="14"/>
          <w:szCs w:val="14"/>
          <w:b w:val="1"/>
          <w:bCs w:val="1"/>
          <w:i w:val="1"/>
          <w:iCs w:val="1"/>
          <w:color w:val="auto"/>
        </w:rPr>
        <w:t>The market opportunities for our product candidates and forecasts of market growth may not be accurate, and the actual market for our product candidates may be smaller than we estimate. Even if the markets in which we compete achieve the forecasted growth, our business may not grow at similar rates, or at all.</w:t>
      </w:r>
    </w:p>
    <w:p>
      <w:pPr>
        <w:spacing w:after="0" w:line="36"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46" w:lineRule="auto"/>
        <w:rPr>
          <w:sz w:val="20"/>
          <w:szCs w:val="20"/>
          <w:color w:val="auto"/>
        </w:rPr>
      </w:pPr>
      <w:r>
        <w:rPr>
          <w:rFonts w:ascii="Arial" w:cs="Arial" w:eastAsia="Arial" w:hAnsi="Arial"/>
          <w:sz w:val="14"/>
          <w:szCs w:val="14"/>
          <w:color w:val="auto"/>
        </w:rPr>
        <w:t>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p>
    <w:p>
      <w:pPr>
        <w:spacing w:after="0" w:line="142" w:lineRule="exact"/>
        <w:rPr>
          <w:sz w:val="20"/>
          <w:szCs w:val="20"/>
          <w:color w:val="auto"/>
        </w:rPr>
      </w:pPr>
    </w:p>
    <w:p>
      <w:pPr>
        <w:ind w:left="640" w:right="859"/>
        <w:spacing w:after="0" w:line="288" w:lineRule="auto"/>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drugs before or more successfully than we do.</w:t>
      </w:r>
    </w:p>
    <w:p>
      <w:pPr>
        <w:spacing w:after="0" w:line="20" w:lineRule="exact"/>
        <w:rPr>
          <w:sz w:val="20"/>
          <w:szCs w:val="20"/>
          <w:color w:val="auto"/>
        </w:rPr>
      </w:pPr>
    </w:p>
    <w:p>
      <w:pPr>
        <w:ind w:left="640" w:right="719" w:firstLine="443"/>
        <w:spacing w:after="0" w:line="248" w:lineRule="auto"/>
        <w:rPr>
          <w:sz w:val="20"/>
          <w:szCs w:val="20"/>
          <w:color w:val="auto"/>
        </w:rPr>
      </w:pPr>
      <w:r>
        <w:rPr>
          <w:rFonts w:ascii="Arial" w:cs="Arial" w:eastAsia="Arial" w:hAnsi="Arial"/>
          <w:sz w:val="14"/>
          <w:szCs w:val="14"/>
          <w:color w:val="auto"/>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54"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Many of our competitors have significantly greater financial, technical, manufacturing, supply, marketing and sales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316" w:lineRule="exact"/>
        <w:rPr>
          <w:sz w:val="20"/>
          <w:szCs w:val="20"/>
          <w:color w:val="auto"/>
        </w:rPr>
      </w:pPr>
    </w:p>
    <w:p>
      <w:pPr>
        <w:ind w:left="640" w:right="879"/>
        <w:spacing w:after="0" w:line="264" w:lineRule="auto"/>
        <w:rPr>
          <w:sz w:val="20"/>
          <w:szCs w:val="20"/>
          <w:color w:val="auto"/>
        </w:rPr>
      </w:pPr>
      <w:r>
        <w:rPr>
          <w:rFonts w:ascii="Arial" w:cs="Arial" w:eastAsia="Arial" w:hAnsi="Arial"/>
          <w:sz w:val="14"/>
          <w:szCs w:val="14"/>
          <w:b w:val="1"/>
          <w:bCs w:val="1"/>
          <w:i w:val="1"/>
          <w:iCs w:val="1"/>
          <w:color w:val="auto"/>
        </w:rPr>
        <w:t>If we do not achieve our projected development goals in the timeframes we announce and expect, the commercialization of our programs may be delayed and our expenses may increase and, as a result, our stock price may decline.</w:t>
      </w:r>
    </w:p>
    <w:p>
      <w:pPr>
        <w:spacing w:after="0" w:line="36"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312" w:lineRule="exact"/>
        <w:rPr>
          <w:sz w:val="20"/>
          <w:szCs w:val="20"/>
          <w:color w:val="auto"/>
        </w:rPr>
      </w:pPr>
    </w:p>
    <w:p>
      <w:pPr>
        <w:ind w:left="640" w:right="719"/>
        <w:spacing w:after="0" w:line="252" w:lineRule="auto"/>
        <w:rPr>
          <w:sz w:val="20"/>
          <w:szCs w:val="20"/>
          <w:color w:val="auto"/>
        </w:rPr>
      </w:pPr>
      <w:r>
        <w:rPr>
          <w:rFonts w:ascii="Arial" w:cs="Arial" w:eastAsia="Arial" w:hAnsi="Arial"/>
          <w:sz w:val="14"/>
          <w:szCs w:val="14"/>
          <w:b w:val="1"/>
          <w:bCs w:val="1"/>
          <w:i w:val="1"/>
          <w:iCs w:val="1"/>
          <w:color w:val="auto"/>
        </w:rPr>
        <w:t>Use of our product candidates could be associated with side effects, adverse events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financial condition and prospects.</w:t>
      </w:r>
    </w:p>
    <w:p>
      <w:pPr>
        <w:spacing w:after="0" w:line="44" w:lineRule="exact"/>
        <w:rPr>
          <w:sz w:val="20"/>
          <w:szCs w:val="20"/>
          <w:color w:val="auto"/>
        </w:rPr>
      </w:pPr>
    </w:p>
    <w:p>
      <w:pPr>
        <w:ind w:left="640" w:right="679" w:firstLine="443"/>
        <w:spacing w:after="0" w:line="254" w:lineRule="auto"/>
        <w:rPr>
          <w:sz w:val="20"/>
          <w:szCs w:val="20"/>
          <w:color w:val="auto"/>
        </w:rPr>
      </w:pPr>
      <w:r>
        <w:rPr>
          <w:rFonts w:ascii="Arial" w:cs="Arial" w:eastAsia="Arial" w:hAnsi="Arial"/>
          <w:sz w:val="14"/>
          <w:szCs w:val="14"/>
          <w:color w:val="auto"/>
        </w:rPr>
        <w:t>Before obtaining regulatory approvals for the commercial sale of any of our product candidates, we must demonstrate through lengthy, complex and expensive preclinical studies and clinical trials that our current product candidates, including OD-001 and OD-002, our lead product candidates, and any future product candidates are both safe, pure and potent and effective for use in such product candidate’s target indication. Clinical testing is expensive, can take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19"/>
        <w:spacing w:after="0" w:line="250" w:lineRule="auto"/>
        <w:rPr>
          <w:sz w:val="20"/>
          <w:szCs w:val="20"/>
          <w:color w:val="auto"/>
        </w:rPr>
      </w:pPr>
      <w:r>
        <w:rPr>
          <w:rFonts w:ascii="Arial" w:cs="Arial" w:eastAsia="Arial" w:hAnsi="Arial"/>
          <w:sz w:val="14"/>
          <w:szCs w:val="14"/>
          <w:color w:val="auto"/>
        </w:rPr>
        <w:t>many years to complete and its outcome is inherently uncertain. Failure can occur at any time during the clinical trial process.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p>
    <w:p>
      <w:pPr>
        <w:spacing w:after="0" w:line="53" w:lineRule="exact"/>
        <w:rPr>
          <w:sz w:val="20"/>
          <w:szCs w:val="20"/>
          <w:color w:val="auto"/>
        </w:rPr>
      </w:pPr>
    </w:p>
    <w:p>
      <w:pPr>
        <w:ind w:left="640" w:right="759" w:firstLine="443"/>
        <w:spacing w:after="0" w:line="246" w:lineRule="auto"/>
        <w:rPr>
          <w:sz w:val="20"/>
          <w:szCs w:val="20"/>
          <w:color w:val="auto"/>
        </w:rPr>
      </w:pPr>
      <w:r>
        <w:rPr>
          <w:rFonts w:ascii="Arial" w:cs="Arial" w:eastAsia="Arial" w:hAnsi="Arial"/>
          <w:sz w:val="14"/>
          <w:szCs w:val="14"/>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p>
    <w:p>
      <w:pPr>
        <w:spacing w:after="0" w:line="54"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Patients in our ongoing and planned clinical trials may in the future suffer significant adverse events or other side effects not observed in our preclinical studies or previous clinical trials. For example, while no serious adverse effects, or SAEs, have been observed as of the date of this prospectus, it is possible that testing in additional human subjects with IBD may, either in monotherapy or in combination with other agents, reveal greater side effects in our clinical program for OD-001 than observed in our clinical testing to date.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impact the success of our clinical trials.</w:t>
      </w:r>
    </w:p>
    <w:p>
      <w:pPr>
        <w:spacing w:after="0" w:line="57" w:lineRule="exact"/>
        <w:rPr>
          <w:sz w:val="20"/>
          <w:szCs w:val="20"/>
          <w:color w:val="auto"/>
        </w:rPr>
      </w:pPr>
    </w:p>
    <w:p>
      <w:pPr>
        <w:ind w:left="640" w:right="779" w:firstLine="443"/>
        <w:spacing w:after="0" w:line="248" w:lineRule="auto"/>
        <w:rPr>
          <w:sz w:val="20"/>
          <w:szCs w:val="20"/>
          <w:color w:val="auto"/>
        </w:rPr>
      </w:pPr>
      <w:r>
        <w:rPr>
          <w:rFonts w:ascii="Arial" w:cs="Arial" w:eastAsia="Arial" w:hAnsi="Arial"/>
          <w:sz w:val="14"/>
          <w:szCs w:val="14"/>
          <w:color w:val="auto"/>
        </w:rPr>
        <w:t>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results of operations and prospects.</w:t>
      </w:r>
    </w:p>
    <w:p>
      <w:pPr>
        <w:spacing w:after="0" w:line="54" w:lineRule="exact"/>
        <w:rPr>
          <w:sz w:val="20"/>
          <w:szCs w:val="20"/>
          <w:color w:val="auto"/>
        </w:rPr>
      </w:pPr>
    </w:p>
    <w:p>
      <w:pPr>
        <w:ind w:left="640" w:right="759" w:firstLine="443"/>
        <w:spacing w:after="0" w:line="247" w:lineRule="auto"/>
        <w:rPr>
          <w:sz w:val="20"/>
          <w:szCs w:val="20"/>
          <w:color w:val="auto"/>
        </w:rPr>
      </w:pPr>
      <w:r>
        <w:rPr>
          <w:rFonts w:ascii="Arial" w:cs="Arial" w:eastAsia="Arial" w:hAnsi="Arial"/>
          <w:sz w:val="14"/>
          <w:szCs w:val="14"/>
          <w:color w:val="auto"/>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w:t>
      </w:r>
    </w:p>
    <w:p>
      <w:pPr>
        <w:spacing w:after="0" w:line="54" w:lineRule="exact"/>
        <w:rPr>
          <w:sz w:val="20"/>
          <w:szCs w:val="20"/>
          <w:color w:val="auto"/>
        </w:rPr>
      </w:pPr>
    </w:p>
    <w:p>
      <w:pPr>
        <w:ind w:left="1260" w:right="739" w:hanging="179"/>
        <w:spacing w:after="0" w:line="281" w:lineRule="auto"/>
        <w:tabs>
          <w:tab w:leader="none" w:pos="126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we may be forced to suspend marketing of that product, or decide to remove the product from the marketplace, if approved;</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regulatory authorities may withdraw or change their approvals of that product;</w:t>
      </w:r>
    </w:p>
    <w:p>
      <w:pPr>
        <w:spacing w:after="0" w:line="96" w:lineRule="exact"/>
        <w:rPr>
          <w:rFonts w:ascii="Times New Roman" w:cs="Times New Roman" w:eastAsia="Times New Roman" w:hAnsi="Times New Roman"/>
          <w:sz w:val="14"/>
          <w:szCs w:val="14"/>
          <w:color w:val="auto"/>
        </w:rPr>
      </w:pPr>
    </w:p>
    <w:p>
      <w:pPr>
        <w:ind w:left="1260" w:right="759" w:hanging="179"/>
        <w:spacing w:after="0" w:line="260" w:lineRule="auto"/>
        <w:tabs>
          <w:tab w:leader="none" w:pos="126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45" w:lineRule="exact"/>
        <w:rPr>
          <w:rFonts w:ascii="Times New Roman" w:cs="Times New Roman" w:eastAsia="Times New Roman" w:hAnsi="Times New Roman"/>
          <w:sz w:val="14"/>
          <w:szCs w:val="14"/>
          <w:color w:val="auto"/>
        </w:rPr>
      </w:pPr>
    </w:p>
    <w:p>
      <w:pPr>
        <w:ind w:left="1260" w:right="959" w:hanging="179"/>
        <w:spacing w:after="0" w:line="281" w:lineRule="auto"/>
        <w:tabs>
          <w:tab w:leader="none" w:pos="126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we may be required to create a medication guide outlining the risks of the product for patients, or to conduct post-marketing studies;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we may be required to change the way the product is administered;</w:t>
      </w:r>
    </w:p>
    <w:p>
      <w:pPr>
        <w:spacing w:after="0" w:line="96" w:lineRule="exact"/>
        <w:rPr>
          <w:rFonts w:ascii="Times New Roman" w:cs="Times New Roman" w:eastAsia="Times New Roman" w:hAnsi="Times New Roman"/>
          <w:sz w:val="14"/>
          <w:szCs w:val="14"/>
          <w:color w:val="auto"/>
        </w:rPr>
      </w:pPr>
    </w:p>
    <w:p>
      <w:pPr>
        <w:ind w:left="1260" w:right="659" w:hanging="179"/>
        <w:spacing w:after="0" w:line="281" w:lineRule="auto"/>
        <w:tabs>
          <w:tab w:leader="none" w:pos="126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we could be subject to fines, injunctions, or the imposition of criminal or civil penalties, or be sued and held liable for harm caused to subjects or patients; and</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the product may become less competitive, and our reputation may suffer.</w:t>
      </w:r>
    </w:p>
    <w:p>
      <w:pPr>
        <w:spacing w:after="0" w:line="96" w:lineRule="exact"/>
        <w:rPr>
          <w:sz w:val="20"/>
          <w:szCs w:val="20"/>
          <w:color w:val="auto"/>
        </w:rPr>
      </w:pPr>
    </w:p>
    <w:p>
      <w:pPr>
        <w:ind w:left="640" w:right="739" w:firstLine="443"/>
        <w:spacing w:after="0" w:line="261" w:lineRule="auto"/>
        <w:rPr>
          <w:sz w:val="20"/>
          <w:szCs w:val="20"/>
          <w:color w:val="auto"/>
        </w:rPr>
      </w:pPr>
      <w:r>
        <w:rPr>
          <w:rFonts w:ascii="Arial" w:cs="Arial" w:eastAsia="Arial" w:hAnsi="Arial"/>
          <w:sz w:val="14"/>
          <w:szCs w:val="14"/>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679"/>
        <w:spacing w:after="0" w:line="288" w:lineRule="auto"/>
        <w:rPr>
          <w:sz w:val="20"/>
          <w:szCs w:val="20"/>
          <w:color w:val="auto"/>
        </w:rPr>
      </w:pPr>
      <w:r>
        <w:rPr>
          <w:rFonts w:ascii="Arial" w:cs="Arial" w:eastAsia="Arial" w:hAnsi="Arial"/>
          <w:sz w:val="14"/>
          <w:szCs w:val="14"/>
          <w:b w:val="1"/>
          <w:bCs w:val="1"/>
          <w:i w:val="1"/>
          <w:iCs w:val="1"/>
          <w:color w:val="auto"/>
        </w:rPr>
        <w:t>Changes in product candidate manufacturing, formulation or analytical methods may result in additional costs or delay, which could adversely affect our business, financial condition, results of operations and prospects.</w:t>
      </w:r>
    </w:p>
    <w:p>
      <w:pPr>
        <w:spacing w:after="0" w:line="20"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As product candidates are developed through preclinical studies to later-stage clinical trials toward approval and future commercialization, it is common that various aspects of the development program, such as manufacturing methods, formulation or analytical methods, are altered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spacing w:after="0" w:line="144" w:lineRule="exact"/>
        <w:rPr>
          <w:sz w:val="20"/>
          <w:szCs w:val="20"/>
          <w:color w:val="auto"/>
        </w:rPr>
      </w:pPr>
    </w:p>
    <w:p>
      <w:pPr>
        <w:ind w:left="640" w:right="739"/>
        <w:spacing w:after="0" w:line="264" w:lineRule="auto"/>
        <w:rPr>
          <w:sz w:val="20"/>
          <w:szCs w:val="20"/>
          <w:color w:val="auto"/>
        </w:rPr>
      </w:pPr>
      <w:r>
        <w:rPr>
          <w:rFonts w:ascii="Arial" w:cs="Arial" w:eastAsia="Arial" w:hAnsi="Arial"/>
          <w:sz w:val="14"/>
          <w:szCs w:val="14"/>
          <w:b w:val="1"/>
          <w:bCs w:val="1"/>
          <w:i w:val="1"/>
          <w:iCs w:val="1"/>
          <w:color w:val="auto"/>
        </w:rPr>
        <w:t>A variety of risks associated with conducting research and clinical trials abroad, including in China and Ukraine, and seeking to market our product candidates internationally, could materially adversely affect our business, financial condition, results of operations and prospects.</w:t>
      </w:r>
    </w:p>
    <w:p>
      <w:pPr>
        <w:spacing w:after="0" w:line="36" w:lineRule="exact"/>
        <w:rPr>
          <w:sz w:val="20"/>
          <w:szCs w:val="20"/>
          <w:color w:val="auto"/>
        </w:rPr>
      </w:pPr>
    </w:p>
    <w:p>
      <w:pPr>
        <w:ind w:left="640" w:right="659" w:firstLine="443"/>
        <w:spacing w:after="0" w:line="261" w:lineRule="auto"/>
        <w:rPr>
          <w:sz w:val="20"/>
          <w:szCs w:val="20"/>
          <w:color w:val="auto"/>
        </w:rPr>
      </w:pPr>
      <w:r>
        <w:rPr>
          <w:rFonts w:ascii="Arial" w:cs="Arial" w:eastAsia="Arial" w:hAnsi="Arial"/>
          <w:sz w:val="14"/>
          <w:szCs w:val="14"/>
          <w:color w:val="auto"/>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44" w:lineRule="exact"/>
        <w:rPr>
          <w:sz w:val="20"/>
          <w:szCs w:val="20"/>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differing regulatory requirements in foreign countries;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differing standards with respect to data integrity;</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differing standards and privacy requirements for the conduct of clinical trials;</w:t>
      </w:r>
    </w:p>
    <w:p>
      <w:pPr>
        <w:spacing w:after="0" w:line="96" w:lineRule="exact"/>
        <w:rPr>
          <w:rFonts w:ascii="Times New Roman" w:cs="Times New Roman" w:eastAsia="Times New Roman" w:hAnsi="Times New Roman"/>
          <w:sz w:val="14"/>
          <w:szCs w:val="14"/>
          <w:color w:val="auto"/>
        </w:rPr>
      </w:pPr>
    </w:p>
    <w:p>
      <w:pPr>
        <w:ind w:left="1260" w:right="779" w:hanging="179"/>
        <w:spacing w:after="0" w:line="281"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increased difficulties in managing the logistics and transportation of storing and shipping product candidates to the patient at the relevant trial site abroad;</w:t>
      </w:r>
    </w:p>
    <w:p>
      <w:pPr>
        <w:spacing w:after="0" w:line="30" w:lineRule="exact"/>
        <w:rPr>
          <w:rFonts w:ascii="Times New Roman" w:cs="Times New Roman" w:eastAsia="Times New Roman" w:hAnsi="Times New Roman"/>
          <w:sz w:val="14"/>
          <w:szCs w:val="14"/>
          <w:color w:val="auto"/>
        </w:rPr>
      </w:pPr>
    </w:p>
    <w:p>
      <w:pPr>
        <w:ind w:left="1260" w:right="1099" w:hanging="179"/>
        <w:spacing w:after="0" w:line="260"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the imposition of new laws and regulations, including those relating to labor conditions, quality, and safety standards, imports, duties, taxes, and other charges on imports, as well as trade restrictions, tariffs and restrictions on currency exchange or the transfer of funds;</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economic weakness, including inflation, or political instability in particular foreign economies and markets;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96" w:lineRule="exact"/>
        <w:rPr>
          <w:rFonts w:ascii="Times New Roman" w:cs="Times New Roman" w:eastAsia="Times New Roman" w:hAnsi="Times New Roman"/>
          <w:sz w:val="14"/>
          <w:szCs w:val="14"/>
          <w:color w:val="auto"/>
        </w:rPr>
      </w:pPr>
    </w:p>
    <w:p>
      <w:pPr>
        <w:ind w:left="1260" w:right="939" w:hanging="179"/>
        <w:spacing w:after="0" w:line="281"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foreign currency fluctuations, which could result in increased operating expenses and reduced revenue, and other obligations incident to doing business in another country;</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difficulties staffing, workforce uncertainty and managing foreign operations;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differing payor reimbursement regimes, governmental payors or patient self-pay systems and price controls;</w:t>
      </w:r>
    </w:p>
    <w:p>
      <w:pPr>
        <w:spacing w:after="0" w:line="96" w:lineRule="exact"/>
        <w:rPr>
          <w:rFonts w:ascii="Times New Roman" w:cs="Times New Roman" w:eastAsia="Times New Roman" w:hAnsi="Times New Roman"/>
          <w:sz w:val="14"/>
          <w:szCs w:val="14"/>
          <w:color w:val="auto"/>
        </w:rPr>
      </w:pPr>
    </w:p>
    <w:p>
      <w:pPr>
        <w:ind w:left="1260" w:right="1339" w:hanging="179"/>
        <w:spacing w:after="0" w:line="281"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potential liability under the Foreign Corrupt Practices Act of 1977, or the FCPA, or comparable foreign regulations;</w:t>
      </w:r>
    </w:p>
    <w:p>
      <w:pPr>
        <w:spacing w:after="0" w:line="30"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challenges enforcing our contractual and intellectual property rights, especially in those foreign countries that do not respect and protect intellectual property rights to the same extent as the United States;</w:t>
      </w:r>
    </w:p>
    <w:p>
      <w:pPr>
        <w:spacing w:after="0" w:line="30" w:lineRule="exact"/>
        <w:rPr>
          <w:rFonts w:ascii="Times New Roman" w:cs="Times New Roman" w:eastAsia="Times New Roman" w:hAnsi="Times New Roman"/>
          <w:sz w:val="14"/>
          <w:szCs w:val="14"/>
          <w:color w:val="auto"/>
        </w:rPr>
      </w:pPr>
    </w:p>
    <w:p>
      <w:pPr>
        <w:ind w:left="1260" w:right="1079" w:hanging="179"/>
        <w:spacing w:after="0" w:line="281"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challenges with obtaining any local supply of drugs or agents used with our product candidates, which are required by certain local clinical trial sites before conducting any study;</w:t>
      </w:r>
    </w:p>
    <w:p>
      <w:pPr>
        <w:spacing w:after="0" w:line="30" w:lineRule="exact"/>
        <w:rPr>
          <w:rFonts w:ascii="Times New Roman" w:cs="Times New Roman" w:eastAsia="Times New Roman" w:hAnsi="Times New Roman"/>
          <w:sz w:val="14"/>
          <w:szCs w:val="14"/>
          <w:color w:val="auto"/>
        </w:rPr>
      </w:pPr>
    </w:p>
    <w:p>
      <w:pPr>
        <w:ind w:left="1260" w:right="1019" w:hanging="179"/>
        <w:spacing w:after="0" w:line="260"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business interruptions resulting from health epidemics or pandemics, or natural or man-made disasters, including earthquakes, tsunamis, fires, medical epidemics or geo-political developments, including war and terrorism;</w:t>
      </w:r>
    </w:p>
    <w:p>
      <w:pPr>
        <w:spacing w:after="0" w:line="45" w:lineRule="exact"/>
        <w:rPr>
          <w:rFonts w:ascii="Times New Roman" w:cs="Times New Roman" w:eastAsia="Times New Roman" w:hAnsi="Times New Roman"/>
          <w:sz w:val="14"/>
          <w:szCs w:val="14"/>
          <w:color w:val="auto"/>
        </w:rPr>
      </w:pPr>
    </w:p>
    <w:p>
      <w:pPr>
        <w:ind w:left="1260" w:right="1039" w:hanging="179"/>
        <w:spacing w:after="0" w:line="281" w:lineRule="auto"/>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failure to observe local or international GCPs, including data integrity, rules leading to rejection of safety or effectiveness data by drug regulatory authorities; and</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failure to observe local data privacy or security rules leading to prohibitions on data transfer.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For example, our phase 1 healthy participant trial for OD-001 was conducted in Australia and, as of the date of this prospectus, we have enrolled patients in our phase 2a signal seeking trial for OD-001 at multiple sites in Australia, Canada, Jordan, Moldova, New Zealand, Poland and Ukraine. We are also considering, subject to the receipt of necessary approvals from the applicable regulatory authorities, enrolling patients at sites in the Middle East and other jurisdictions globally for future clinical trials. To the extent military conflicts, political unrest, unstable economic conditions or other events adversely impact our ability to enroll patients or complete enrollments in process or adversely impact the ability of our suppliers to produce and distribute the supplies we need for our OD-001 phase 2a clinical trial or future clinical trials, we may be required to enroll patients at other sites which could increase the cost or delay the timing for completing such trial.</w:t>
      </w:r>
    </w:p>
    <w:p>
      <w:pPr>
        <w:spacing w:after="0" w:line="221"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We have also engaged CROs active in China and Ukraine to assist with discovery and research activities. Disruptions to our preclinical development programs or increased costs have in the past and may in the future result from changes in the policies of the U.S. or Chinese governments, political unrest, unstable economic conditions in China or Ukraine and disruption from the war in Ukraine. For example, a further trade war between the U.S. and China could lead to tariffs, legislation or regulations that impact our ability to continue relying on these CROs or increase the cost of doing so. Additionally, legislation and regulations, such as the BIOSECURE Act, could restrict our ability to enter into long-term commercial agreements with certain CMOs.</w:t>
      </w:r>
    </w:p>
    <w:p>
      <w:pPr>
        <w:spacing w:after="0" w:line="142" w:lineRule="exact"/>
        <w:rPr>
          <w:sz w:val="20"/>
          <w:szCs w:val="20"/>
          <w:color w:val="auto"/>
        </w:rPr>
      </w:pPr>
    </w:p>
    <w:p>
      <w:pPr>
        <w:ind w:left="640" w:right="679"/>
        <w:spacing w:after="0" w:line="264" w:lineRule="auto"/>
        <w:rPr>
          <w:sz w:val="20"/>
          <w:szCs w:val="20"/>
          <w:color w:val="auto"/>
        </w:rPr>
      </w:pPr>
      <w:r>
        <w:rPr>
          <w:rFonts w:ascii="Arial" w:cs="Arial" w:eastAsia="Arial" w:hAnsi="Arial"/>
          <w:sz w:val="14"/>
          <w:szCs w:val="14"/>
          <w:b w:val="1"/>
          <w:bCs w:val="1"/>
          <w:i w:val="1"/>
          <w:iCs w:val="1"/>
          <w:color w:val="auto"/>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p>
    <w:p>
      <w:pPr>
        <w:spacing w:after="0" w:line="36"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Our phase 1 healthy participant trial for OD-001 was conducted in Australia and we are conducting our phase 2a signal seeking trial for OD-001 in Australia, Canada, Jordan, Moldova, New Zealand, Poland and Ukraine. In addition, we currently intend to conduct additional future clinical trials in a number of countries around the world, including countries in the Middle East.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153" w:lineRule="exact"/>
        <w:rPr>
          <w:sz w:val="20"/>
          <w:szCs w:val="20"/>
          <w:color w:val="auto"/>
        </w:rPr>
      </w:pPr>
    </w:p>
    <w:p>
      <w:pPr>
        <w:ind w:left="640" w:right="679"/>
        <w:spacing w:after="0" w:line="256" w:lineRule="auto"/>
        <w:rPr>
          <w:sz w:val="20"/>
          <w:szCs w:val="20"/>
          <w:color w:val="auto"/>
        </w:rPr>
      </w:pPr>
      <w:r>
        <w:rPr>
          <w:rFonts w:ascii="Arial" w:cs="Arial" w:eastAsia="Arial" w:hAnsi="Arial"/>
          <w:sz w:val="14"/>
          <w:szCs w:val="14"/>
          <w:b w:val="1"/>
          <w:bCs w:val="1"/>
          <w:i w:val="1"/>
          <w:iCs w:val="1"/>
          <w:color w:val="auto"/>
        </w:rPr>
        <w:t>The manufacturing process for any products that we may develop is subject to the FDA or comparable foreign regulatory authority approval process, and we currently, and will need to continue to, contract with manufacturers who can meet our and all applicable FDA or comparable foreign regulatory authority requirements on an ongoing basis.</w:t>
      </w:r>
    </w:p>
    <w:p>
      <w:pPr>
        <w:spacing w:after="0" w:line="41"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The manufacturing process for any products that we may develop is subject to the FDA or comparable foreign authority approval process, and any contractors with which we contract for manufacturing must meet all applicable FDA or comparable foreign regulatory authority requirements on an ongoing basis. If we or our CMOs are unable to reliably produce products to specifications acceptable to the FDA or comparable foreign regulatory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restrictions and criminal prosecutions), delay approval of our product candidates, impair commercialization efforts,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19"/>
        <w:spacing w:after="0" w:line="261" w:lineRule="auto"/>
        <w:rPr>
          <w:sz w:val="20"/>
          <w:szCs w:val="20"/>
          <w:color w:val="auto"/>
        </w:rPr>
      </w:pPr>
      <w:r>
        <w:rPr>
          <w:rFonts w:ascii="Arial" w:cs="Arial" w:eastAsia="Arial" w:hAnsi="Arial"/>
          <w:sz w:val="14"/>
          <w:szCs w:val="14"/>
          <w:color w:val="auto"/>
        </w:rPr>
        <w:t>material adverse effect on our business, financial condition, results of operations and prospects. In addition, we could incur higher manufacturing costs if manufacturing processes or standards change, and we could need to replace, modify, design or build and install equipment, all of which would require additional capital expenditures.</w:t>
      </w:r>
    </w:p>
    <w:p>
      <w:pPr>
        <w:spacing w:after="0" w:line="44" w:lineRule="exact"/>
        <w:rPr>
          <w:sz w:val="20"/>
          <w:szCs w:val="20"/>
          <w:color w:val="auto"/>
        </w:rPr>
      </w:pPr>
    </w:p>
    <w:p>
      <w:pPr>
        <w:ind w:left="640" w:right="859" w:firstLine="443"/>
        <w:spacing w:after="0" w:line="282" w:lineRule="auto"/>
        <w:rPr>
          <w:sz w:val="20"/>
          <w:szCs w:val="20"/>
          <w:color w:val="auto"/>
        </w:rPr>
      </w:pPr>
      <w:r>
        <w:rPr>
          <w:rFonts w:ascii="Arial" w:cs="Arial" w:eastAsia="Arial" w:hAnsi="Arial"/>
          <w:sz w:val="14"/>
          <w:szCs w:val="14"/>
          <w:color w:val="auto"/>
        </w:rPr>
        <w:t>We rely on third-party CMOs to manufacture and supply drug substance and drug product for our clinical trial for OD-001 and we expect to rely on third-party CMOs for our future clinical trials.</w:t>
      </w:r>
    </w:p>
    <w:p>
      <w:pPr>
        <w:spacing w:after="0" w:line="30" w:lineRule="exact"/>
        <w:rPr>
          <w:sz w:val="20"/>
          <w:szCs w:val="20"/>
          <w:color w:val="auto"/>
        </w:rPr>
      </w:pPr>
    </w:p>
    <w:p>
      <w:pPr>
        <w:ind w:left="640" w:right="1499" w:firstLine="443"/>
        <w:spacing w:after="0" w:line="282" w:lineRule="auto"/>
        <w:rPr>
          <w:sz w:val="20"/>
          <w:szCs w:val="20"/>
          <w:color w:val="auto"/>
        </w:rPr>
      </w:pPr>
      <w:r>
        <w:rPr>
          <w:rFonts w:ascii="Arial" w:cs="Arial" w:eastAsia="Arial" w:hAnsi="Arial"/>
          <w:sz w:val="14"/>
          <w:szCs w:val="14"/>
          <w:color w:val="auto"/>
        </w:rPr>
        <w:t>Reliance on third-party manufacturers entails exposure to risks to which we would not be subject if we manufactured our product candidates ourselves, including:</w:t>
      </w:r>
    </w:p>
    <w:p>
      <w:pPr>
        <w:spacing w:after="0" w:line="30" w:lineRule="exact"/>
        <w:rPr>
          <w:sz w:val="20"/>
          <w:szCs w:val="20"/>
          <w:color w:val="auto"/>
        </w:rPr>
      </w:pPr>
    </w:p>
    <w:p>
      <w:pPr>
        <w:ind w:left="1260" w:right="919" w:hanging="179"/>
        <w:spacing w:after="0" w:line="281" w:lineRule="auto"/>
        <w:tabs>
          <w:tab w:leader="none" w:pos="12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inability to negotiate manufacturing and quality agreements with third parties under commercially reasonable terms;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reduced day-to-day control over the manufacturing process for our product candidates;</w:t>
      </w:r>
    </w:p>
    <w:p>
      <w:pPr>
        <w:spacing w:after="0" w:line="96" w:lineRule="exact"/>
        <w:rPr>
          <w:rFonts w:ascii="Times New Roman" w:cs="Times New Roman" w:eastAsia="Times New Roman" w:hAnsi="Times New Roman"/>
          <w:sz w:val="14"/>
          <w:szCs w:val="14"/>
          <w:color w:val="auto"/>
        </w:rPr>
      </w:pPr>
    </w:p>
    <w:p>
      <w:pPr>
        <w:ind w:left="1260" w:right="979" w:hanging="179"/>
        <w:spacing w:after="0" w:line="281" w:lineRule="auto"/>
        <w:tabs>
          <w:tab w:leader="none" w:pos="12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reduced control over the protection of our trade secrets and know-how from misappropriation or inadvertent disclosure;</w:t>
      </w:r>
    </w:p>
    <w:p>
      <w:pPr>
        <w:spacing w:after="0" w:line="30" w:lineRule="exact"/>
        <w:rPr>
          <w:rFonts w:ascii="Times New Roman" w:cs="Times New Roman" w:eastAsia="Times New Roman" w:hAnsi="Times New Roman"/>
          <w:sz w:val="14"/>
          <w:szCs w:val="14"/>
          <w:color w:val="auto"/>
        </w:rPr>
      </w:pPr>
    </w:p>
    <w:p>
      <w:pPr>
        <w:jc w:val="both"/>
        <w:ind w:left="1260" w:right="759" w:hanging="179"/>
        <w:spacing w:after="0" w:line="281" w:lineRule="auto"/>
        <w:tabs>
          <w:tab w:leader="none" w:pos="12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30" w:lineRule="exact"/>
        <w:rPr>
          <w:rFonts w:ascii="Times New Roman" w:cs="Times New Roman" w:eastAsia="Times New Roman" w:hAnsi="Times New Roman"/>
          <w:sz w:val="14"/>
          <w:szCs w:val="14"/>
          <w:color w:val="auto"/>
        </w:rPr>
      </w:pPr>
    </w:p>
    <w:p>
      <w:pPr>
        <w:ind w:left="1260" w:right="719" w:hanging="179"/>
        <w:spacing w:after="0" w:line="281" w:lineRule="auto"/>
        <w:tabs>
          <w:tab w:leader="none" w:pos="12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disruptions to the operations of our third-party manufacturers or suppliers caused by conditions unrelated to our business or operations, including the bankruptcy of the manufacturer or supplier;</w:t>
      </w:r>
    </w:p>
    <w:p>
      <w:pPr>
        <w:spacing w:after="0" w:line="30" w:lineRule="exact"/>
        <w:rPr>
          <w:rFonts w:ascii="Times New Roman" w:cs="Times New Roman" w:eastAsia="Times New Roman" w:hAnsi="Times New Roman"/>
          <w:sz w:val="14"/>
          <w:szCs w:val="14"/>
          <w:color w:val="auto"/>
        </w:rPr>
      </w:pPr>
    </w:p>
    <w:p>
      <w:pPr>
        <w:ind w:left="1260" w:right="719" w:hanging="179"/>
        <w:spacing w:after="0" w:line="260" w:lineRule="auto"/>
        <w:tabs>
          <w:tab w:leader="none" w:pos="12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45"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synchronize operations and standards to ensure that all aspects of manufacturing are consistent without deviations across facilities.</w:t>
      </w:r>
    </w:p>
    <w:p>
      <w:pPr>
        <w:spacing w:after="0" w:line="30" w:lineRule="exact"/>
        <w:rPr>
          <w:sz w:val="20"/>
          <w:szCs w:val="20"/>
          <w:color w:val="auto"/>
        </w:rPr>
      </w:pPr>
    </w:p>
    <w:p>
      <w:pPr>
        <w:ind w:left="640" w:right="739" w:firstLine="443"/>
        <w:spacing w:after="0" w:line="245" w:lineRule="auto"/>
        <w:rPr>
          <w:sz w:val="20"/>
          <w:szCs w:val="20"/>
          <w:color w:val="auto"/>
        </w:rPr>
      </w:pPr>
      <w:r>
        <w:rPr>
          <w:rFonts w:ascii="Arial" w:cs="Arial" w:eastAsia="Arial" w:hAnsi="Arial"/>
          <w:sz w:val="14"/>
          <w:szCs w:val="14"/>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221" w:lineRule="exact"/>
        <w:rPr>
          <w:sz w:val="20"/>
          <w:szCs w:val="20"/>
          <w:color w:val="auto"/>
        </w:rPr>
      </w:pPr>
    </w:p>
    <w:p>
      <w:pPr>
        <w:ind w:left="640" w:right="699" w:firstLine="443"/>
        <w:spacing w:after="0" w:line="246" w:lineRule="auto"/>
        <w:rPr>
          <w:sz w:val="20"/>
          <w:szCs w:val="20"/>
          <w:color w:val="auto"/>
        </w:rPr>
      </w:pPr>
      <w:r>
        <w:rPr>
          <w:rFonts w:ascii="Arial" w:cs="Arial" w:eastAsia="Arial" w:hAnsi="Arial"/>
          <w:sz w:val="14"/>
          <w:szCs w:val="14"/>
          <w:color w:val="auto"/>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spacing w:after="0" w:line="54" w:lineRule="exact"/>
        <w:rPr>
          <w:sz w:val="20"/>
          <w:szCs w:val="20"/>
          <w:color w:val="auto"/>
        </w:rPr>
      </w:pPr>
    </w:p>
    <w:p>
      <w:pPr>
        <w:ind w:left="640" w:right="739" w:firstLine="443"/>
        <w:spacing w:after="0" w:line="246" w:lineRule="auto"/>
        <w:rPr>
          <w:sz w:val="20"/>
          <w:szCs w:val="20"/>
          <w:color w:val="auto"/>
        </w:rPr>
      </w:pPr>
      <w:r>
        <w:rPr>
          <w:rFonts w:ascii="Arial" w:cs="Arial" w:eastAsia="Arial" w:hAnsi="Arial"/>
          <w:sz w:val="14"/>
          <w:szCs w:val="14"/>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recall, operating restrictions, suits under the civil False Claims Act, or FCA, corporate integrity agreements, consent decrees or withdrawal of product approval.</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839"/>
        <w:spacing w:after="0" w:line="264" w:lineRule="auto"/>
        <w:rPr>
          <w:sz w:val="20"/>
          <w:szCs w:val="20"/>
          <w:color w:val="auto"/>
        </w:rPr>
      </w:pPr>
      <w:r>
        <w:rPr>
          <w:rFonts w:ascii="Arial" w:cs="Arial" w:eastAsia="Arial" w:hAnsi="Arial"/>
          <w:sz w:val="14"/>
          <w:szCs w:val="14"/>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36"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We have explored and may continue to explore the use of certain of our product candidates in combination with other therapies, including those that may not yet be approved. For example, we are planning to assess, as part of a planned phase 2a combination basket trial, the effect of OD-001 in combination with vedolizumab and potentially other standard of care therapies.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60"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While vedolizumab is approved by regulatory authorities in major markets, including the FDA and EMA, it has not received marketing approval in some countries where we intend to conduct our clinical trials. If we are unable to use the standard of care agents in our planned phase 2a combination trial for OD-001 in countries where the standard of care agents have not been approved or in our ongoing phase 2a signal seeking trial for OD-001, which includes a vedolizumab maintenance and induction period we may be required to enroll additional patients at existing sites or identify new trial sites, resulting in potential delays in the trial and additional expenses. As a result, our clinical development activities could be delayed or otherwise adversely affected, which could adversely affect our business, financial condition, results of operations and prospects.</w:t>
      </w:r>
    </w:p>
    <w:p>
      <w:pPr>
        <w:spacing w:after="0" w:line="54" w:lineRule="exact"/>
        <w:rPr>
          <w:sz w:val="20"/>
          <w:szCs w:val="20"/>
          <w:color w:val="auto"/>
        </w:rPr>
      </w:pPr>
    </w:p>
    <w:p>
      <w:pPr>
        <w:ind w:left="640" w:right="899" w:firstLine="443"/>
        <w:spacing w:after="0" w:line="254" w:lineRule="auto"/>
        <w:rPr>
          <w:sz w:val="20"/>
          <w:szCs w:val="20"/>
          <w:color w:val="auto"/>
        </w:rPr>
      </w:pPr>
      <w:r>
        <w:rPr>
          <w:rFonts w:ascii="Arial" w:cs="Arial" w:eastAsia="Arial" w:hAnsi="Arial"/>
          <w:sz w:val="14"/>
          <w:szCs w:val="14"/>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88" w:lineRule="exact"/>
        <w:rPr>
          <w:sz w:val="20"/>
          <w:szCs w:val="20"/>
          <w:color w:val="auto"/>
        </w:rPr>
      </w:pPr>
    </w:p>
    <w:p>
      <w:pPr>
        <w:ind w:left="640" w:right="659"/>
        <w:spacing w:after="0" w:line="252" w:lineRule="auto"/>
        <w:rPr>
          <w:sz w:val="20"/>
          <w:szCs w:val="20"/>
          <w:color w:val="auto"/>
        </w:rPr>
      </w:pPr>
      <w:r>
        <w:rPr>
          <w:rFonts w:ascii="Arial" w:cs="Arial" w:eastAsia="Arial" w:hAnsi="Arial"/>
          <w:sz w:val="14"/>
          <w:szCs w:val="14"/>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4"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any future issued patents will afford sufficient protection of our product candidates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p>
    <w:p>
      <w:pPr>
        <w:spacing w:after="0" w:line="54"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Obtaining and enforcing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firstLine="443"/>
        <w:spacing w:after="0" w:line="244" w:lineRule="auto"/>
        <w:rPr>
          <w:sz w:val="20"/>
          <w:szCs w:val="20"/>
          <w:color w:val="auto"/>
        </w:rPr>
      </w:pPr>
      <w:r>
        <w:rPr>
          <w:rFonts w:ascii="Arial" w:cs="Arial" w:eastAsia="Arial" w:hAnsi="Arial"/>
          <w:sz w:val="14"/>
          <w:szCs w:val="14"/>
          <w:color w:val="auto"/>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or the USPTO, or by patent offices in foreign countries, or that the claims in any of our issued patents will be considered valid and enforceable by courts in the United States or foreign countries. Method of use patents protect the use of a product for the methods claimed in the patents. This type of patent does not prevent a competitor from making and marketing a product that is identical to our product candidates for an indication that is outside the scope of the patented method. Moreover, even if competitors do not actively promote their product for our patented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57"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60" w:lineRule="exact"/>
        <w:rPr>
          <w:sz w:val="20"/>
          <w:szCs w:val="20"/>
          <w:color w:val="auto"/>
        </w:rPr>
      </w:pPr>
    </w:p>
    <w:p>
      <w:pPr>
        <w:ind w:left="640" w:right="699" w:firstLine="443"/>
        <w:spacing w:after="0" w:line="243" w:lineRule="auto"/>
        <w:rPr>
          <w:sz w:val="20"/>
          <w:szCs w:val="20"/>
          <w:color w:val="auto"/>
        </w:rPr>
      </w:pPr>
      <w:r>
        <w:rPr>
          <w:rFonts w:ascii="Arial" w:cs="Arial" w:eastAsia="Arial" w:hAnsi="Arial"/>
          <w:sz w:val="14"/>
          <w:szCs w:val="14"/>
          <w:color w:val="auto"/>
        </w:rPr>
        <w:t>The patent application process is subject to numerous risks and uncertainties, and there can be no assurance that we (or any collaborators or licensors)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p>
    <w:p>
      <w:pPr>
        <w:spacing w:after="0" w:line="61"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pending patent applications, and those of any collaborators or licensors, may be challenged in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220" w:lineRule="exact"/>
        <w:rPr>
          <w:sz w:val="20"/>
          <w:szCs w:val="20"/>
          <w:color w:val="auto"/>
        </w:rPr>
      </w:pPr>
    </w:p>
    <w:p>
      <w:pPr>
        <w:ind w:left="640" w:right="739" w:firstLine="443"/>
        <w:spacing w:after="0" w:line="250" w:lineRule="auto"/>
        <w:rPr>
          <w:sz w:val="20"/>
          <w:szCs w:val="20"/>
          <w:color w:val="auto"/>
        </w:rPr>
      </w:pPr>
      <w:r>
        <w:rPr>
          <w:rFonts w:ascii="Arial" w:cs="Arial" w:eastAsia="Arial" w:hAnsi="Arial"/>
          <w:sz w:val="14"/>
          <w:szCs w:val="14"/>
          <w:color w:val="auto"/>
        </w:rPr>
        <w:t>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 future owned or in-licensed patents at risk of being invalidated or interpreted narrowly and could allow third parties to commercialize our products and compete directly with us, without payment to us.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19" w:firstLine="443"/>
        <w:spacing w:after="0" w:line="248" w:lineRule="auto"/>
        <w:rPr>
          <w:sz w:val="20"/>
          <w:szCs w:val="20"/>
          <w:color w:val="auto"/>
        </w:rPr>
      </w:pPr>
      <w:r>
        <w:rPr>
          <w:rFonts w:ascii="Arial" w:cs="Arial" w:eastAsia="Arial" w:hAnsi="Arial"/>
          <w:sz w:val="14"/>
          <w:szCs w:val="14"/>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54" w:lineRule="exact"/>
        <w:rPr>
          <w:sz w:val="20"/>
          <w:szCs w:val="20"/>
          <w:color w:val="auto"/>
        </w:rPr>
      </w:pPr>
    </w:p>
    <w:p>
      <w:pPr>
        <w:ind w:left="640" w:right="999" w:firstLine="443"/>
        <w:spacing w:after="0" w:line="261" w:lineRule="auto"/>
        <w:rPr>
          <w:sz w:val="20"/>
          <w:szCs w:val="20"/>
          <w:color w:val="auto"/>
        </w:rPr>
      </w:pPr>
      <w:r>
        <w:rPr>
          <w:rFonts w:ascii="Arial" w:cs="Arial" w:eastAsia="Arial" w:hAnsi="Arial"/>
          <w:sz w:val="14"/>
          <w:szCs w:val="14"/>
          <w:color w:val="auto"/>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w:t>
      </w:r>
    </w:p>
    <w:p>
      <w:pPr>
        <w:spacing w:after="0" w:line="132" w:lineRule="exact"/>
        <w:rPr>
          <w:sz w:val="20"/>
          <w:szCs w:val="20"/>
          <w:color w:val="auto"/>
        </w:rPr>
      </w:pPr>
    </w:p>
    <w:p>
      <w:pPr>
        <w:ind w:left="640" w:right="1079"/>
        <w:spacing w:after="0" w:line="264" w:lineRule="auto"/>
        <w:rPr>
          <w:sz w:val="20"/>
          <w:szCs w:val="20"/>
          <w:color w:val="auto"/>
        </w:rPr>
      </w:pPr>
      <w:r>
        <w:rPr>
          <w:rFonts w:ascii="Arial" w:cs="Arial" w:eastAsia="Arial" w:hAnsi="Arial"/>
          <w:sz w:val="14"/>
          <w:szCs w:val="14"/>
          <w:b w:val="1"/>
          <w:bCs w:val="1"/>
          <w:i w:val="1"/>
          <w:iCs w:val="1"/>
          <w:color w:val="auto"/>
        </w:rPr>
        <w:t>We cannot ensure that patent rights relating to inventions described and claimed in our pending patent applications will issue, or that patents that issue in the future will not be challenged and rendered invalid or unenforceable.</w:t>
      </w:r>
    </w:p>
    <w:p>
      <w:pPr>
        <w:spacing w:after="0" w:line="36" w:lineRule="exact"/>
        <w:rPr>
          <w:sz w:val="20"/>
          <w:szCs w:val="20"/>
          <w:color w:val="auto"/>
        </w:rPr>
      </w:pPr>
    </w:p>
    <w:p>
      <w:pPr>
        <w:ind w:left="640" w:right="719" w:firstLine="443"/>
        <w:spacing w:after="0" w:line="261" w:lineRule="auto"/>
        <w:rPr>
          <w:sz w:val="20"/>
          <w:szCs w:val="20"/>
          <w:color w:val="auto"/>
        </w:rPr>
      </w:pPr>
      <w:r>
        <w:rPr>
          <w:rFonts w:ascii="Arial" w:cs="Arial" w:eastAsia="Arial" w:hAnsi="Arial"/>
          <w:sz w:val="14"/>
          <w:szCs w:val="14"/>
          <w:color w:val="auto"/>
        </w:rPr>
        <w:t>The patent application process is subject to numerous risks and uncertainties, and there can be no assurance that we or any of our potential future collaborators will be successful in protecting our product candidates by obtaining and defending patents. We have several patent applications in our portfolio; however, we cannot predict:</w:t>
      </w:r>
    </w:p>
    <w:p>
      <w:pPr>
        <w:spacing w:after="0" w:line="44" w:lineRule="exact"/>
        <w:rPr>
          <w:sz w:val="20"/>
          <w:szCs w:val="20"/>
          <w:color w:val="auto"/>
        </w:rPr>
      </w:pPr>
    </w:p>
    <w:p>
      <w:pPr>
        <w:ind w:left="1260" w:hanging="179"/>
        <w:spacing w:after="0"/>
        <w:tabs>
          <w:tab w:leader="none" w:pos="12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4"/>
          <w:szCs w:val="14"/>
          <w:color w:val="auto"/>
        </w:rPr>
        <w:t>if and when patents may issue based on our patent applications;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4"/>
          <w:szCs w:val="14"/>
          <w:color w:val="auto"/>
        </w:rPr>
        <w:t>the scope of protection of any patent issuing based on our patent applications;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4"/>
          <w:szCs w:val="14"/>
          <w:color w:val="auto"/>
        </w:rPr>
        <w:t>whether the claims of any issued patent will provide protection against competitors;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4"/>
          <w:szCs w:val="14"/>
          <w:color w:val="auto"/>
        </w:rPr>
        <w:t>whether or not third parties will find ways to invalidate or circumvent our patent rights;</w:t>
      </w:r>
    </w:p>
    <w:p>
      <w:pPr>
        <w:spacing w:after="0" w:line="96" w:lineRule="exact"/>
        <w:rPr>
          <w:rFonts w:ascii="Times New Roman" w:cs="Times New Roman" w:eastAsia="Times New Roman" w:hAnsi="Times New Roman"/>
          <w:sz w:val="14"/>
          <w:szCs w:val="14"/>
          <w:color w:val="auto"/>
        </w:rPr>
      </w:pPr>
    </w:p>
    <w:p>
      <w:pPr>
        <w:ind w:left="1260" w:right="679" w:hanging="179"/>
        <w:spacing w:after="0" w:line="281" w:lineRule="auto"/>
        <w:tabs>
          <w:tab w:leader="none" w:pos="12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4"/>
          <w:szCs w:val="14"/>
          <w:color w:val="auto"/>
        </w:rPr>
        <w:t>whether we will need to initiate litigation or administrative proceedings to enforce and/or defend our patent rights which will be costly whether we win or lose; or</w:t>
      </w:r>
    </w:p>
    <w:p>
      <w:pPr>
        <w:spacing w:after="0" w:line="30" w:lineRule="exact"/>
        <w:rPr>
          <w:rFonts w:ascii="Times New Roman" w:cs="Times New Roman" w:eastAsia="Times New Roman" w:hAnsi="Times New Roman"/>
          <w:sz w:val="14"/>
          <w:szCs w:val="14"/>
          <w:color w:val="auto"/>
        </w:rPr>
      </w:pPr>
    </w:p>
    <w:p>
      <w:pPr>
        <w:ind w:left="1260" w:right="1359" w:hanging="179"/>
        <w:spacing w:after="0" w:line="281" w:lineRule="auto"/>
        <w:tabs>
          <w:tab w:leader="none" w:pos="126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4"/>
          <w:szCs w:val="14"/>
          <w:color w:val="auto"/>
        </w:rPr>
        <w:t>whether the patent applications will result in issued patents with claims that cover each of our product candidates or uses thereof in the United States or in other foreign countries.</w:t>
      </w:r>
    </w:p>
    <w:p>
      <w:pPr>
        <w:spacing w:after="0" w:line="30"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We may be subject to a third-party pre-issuance submission of prior art to the USPTO or become involved in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57" w:lineRule="exact"/>
        <w:rPr>
          <w:sz w:val="20"/>
          <w:szCs w:val="20"/>
          <w:color w:val="auto"/>
        </w:rPr>
      </w:pPr>
    </w:p>
    <w:p>
      <w:pPr>
        <w:ind w:left="640" w:right="799" w:firstLine="443"/>
        <w:spacing w:after="0" w:line="254" w:lineRule="auto"/>
        <w:rPr>
          <w:sz w:val="20"/>
          <w:szCs w:val="20"/>
          <w:color w:val="auto"/>
        </w:rPr>
      </w:pPr>
      <w:r>
        <w:rPr>
          <w:rFonts w:ascii="Arial" w:cs="Arial" w:eastAsia="Arial" w:hAnsi="Arial"/>
          <w:sz w:val="14"/>
          <w:szCs w:val="14"/>
          <w:color w:val="auto"/>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spacing w:after="0" w:line="137" w:lineRule="exact"/>
        <w:rPr>
          <w:sz w:val="20"/>
          <w:szCs w:val="20"/>
          <w:color w:val="auto"/>
        </w:rPr>
      </w:pPr>
    </w:p>
    <w:p>
      <w:pPr>
        <w:ind w:left="640" w:right="839"/>
        <w:spacing w:after="0" w:line="288" w:lineRule="auto"/>
        <w:rPr>
          <w:sz w:val="20"/>
          <w:szCs w:val="20"/>
          <w:color w:val="auto"/>
        </w:rPr>
      </w:pPr>
      <w:r>
        <w:rPr>
          <w:rFonts w:ascii="Arial" w:cs="Arial" w:eastAsia="Arial" w:hAnsi="Arial"/>
          <w:sz w:val="14"/>
          <w:szCs w:val="14"/>
          <w:b w:val="1"/>
          <w:bCs w:val="1"/>
          <w:i w:val="1"/>
          <w:iCs w:val="1"/>
          <w:color w:val="auto"/>
        </w:rPr>
        <w:t>Our pending and future patent applications may not result in patents being issued that protect our product candidates, in whole or in part, or which effectively prevent others from commercializing competitive products.</w:t>
      </w:r>
    </w:p>
    <w:p>
      <w:pPr>
        <w:spacing w:after="0" w:line="20"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759"/>
        <w:spacing w:after="0" w:line="254" w:lineRule="auto"/>
        <w:rPr>
          <w:sz w:val="20"/>
          <w:szCs w:val="20"/>
          <w:color w:val="auto"/>
        </w:rPr>
      </w:pPr>
      <w:r>
        <w:rPr>
          <w:rFonts w:ascii="Arial" w:cs="Arial" w:eastAsia="Arial" w:hAnsi="Arial"/>
          <w:sz w:val="14"/>
          <w:szCs w:val="14"/>
          <w:color w:val="auto"/>
        </w:rPr>
        <w:t>candidates or technology, a derivation proceeding in the United States can be initiated by a third party to determine who invented any of the subject matter covered by the claims of our patent applications. Therefore, we cannot be certain that we were the first to make the inventions claimed in our patents or pending patent applications, or that we were the first to file for patent protection of such inventions.</w:t>
      </w:r>
    </w:p>
    <w:p>
      <w:pPr>
        <w:spacing w:after="0" w:line="49"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future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57"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307" w:lineRule="exact"/>
        <w:rPr>
          <w:sz w:val="20"/>
          <w:szCs w:val="20"/>
          <w:color w:val="auto"/>
        </w:rPr>
      </w:pPr>
    </w:p>
    <w:p>
      <w:pPr>
        <w:ind w:left="640" w:right="659"/>
        <w:spacing w:after="0" w:line="288" w:lineRule="auto"/>
        <w:rPr>
          <w:sz w:val="20"/>
          <w:szCs w:val="20"/>
          <w:color w:val="auto"/>
        </w:rPr>
      </w:pPr>
      <w:r>
        <w:rPr>
          <w:rFonts w:ascii="Arial" w:cs="Arial" w:eastAsia="Arial" w:hAnsi="Arial"/>
          <w:sz w:val="14"/>
          <w:szCs w:val="14"/>
          <w:b w:val="1"/>
          <w:bCs w:val="1"/>
          <w:i w:val="1"/>
          <w:iCs w:val="1"/>
          <w:color w:val="auto"/>
        </w:rPr>
        <w:t>We may not be successful in obtaining or maintaining necessary rights to develop current and any future product candidates on acceptable terms.</w:t>
      </w:r>
    </w:p>
    <w:p>
      <w:pPr>
        <w:spacing w:after="0" w:line="20"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Because some of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55"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the sub-license. If this were to occur, we would no longer have rights to the applicable intellectual property unless we are able to secure our own direct license with the owner of the relevant rights, which we may not be able to do on reasonable terms, or at all.</w:t>
      </w:r>
    </w:p>
    <w:p>
      <w:pPr>
        <w:spacing w:after="0" w:line="60"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Any product candidates licensed from third parties may be subject to retained rights.</w:t>
      </w:r>
    </w:p>
    <w:p>
      <w:pPr>
        <w:spacing w:after="0" w:line="84" w:lineRule="exact"/>
        <w:rPr>
          <w:sz w:val="20"/>
          <w:szCs w:val="20"/>
          <w:color w:val="auto"/>
        </w:rPr>
      </w:pPr>
    </w:p>
    <w:p>
      <w:pPr>
        <w:ind w:left="640" w:right="779" w:firstLine="443"/>
        <w:spacing w:after="0" w:line="248" w:lineRule="auto"/>
        <w:rPr>
          <w:sz w:val="20"/>
          <w:szCs w:val="20"/>
          <w:color w:val="auto"/>
        </w:rPr>
      </w:pPr>
      <w:r>
        <w:rPr>
          <w:rFonts w:ascii="Arial" w:cs="Arial" w:eastAsia="Arial" w:hAnsi="Arial"/>
          <w:sz w:val="14"/>
          <w:szCs w:val="14"/>
          <w:color w:val="auto"/>
        </w:rPr>
        <w:t>Third-parties who have collaborated with us by contributing intellectual property or with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spacing w:after="0" w:line="54"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We may also at times choose to collaborate with academic institutions to accelerate our preclinical research or development.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42" w:lineRule="exact"/>
        <w:rPr>
          <w:sz w:val="20"/>
          <w:szCs w:val="20"/>
          <w:color w:val="auto"/>
        </w:rPr>
      </w:pPr>
    </w:p>
    <w:p>
      <w:pPr>
        <w:ind w:left="640" w:right="699"/>
        <w:spacing w:after="0" w:line="256" w:lineRule="auto"/>
        <w:rPr>
          <w:sz w:val="20"/>
          <w:szCs w:val="20"/>
          <w:color w:val="auto"/>
        </w:rPr>
      </w:pPr>
      <w:r>
        <w:rPr>
          <w:rFonts w:ascii="Arial" w:cs="Arial" w:eastAsia="Arial" w:hAnsi="Arial"/>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spacing w:after="0" w:line="41"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60" w:lineRule="exact"/>
        <w:rPr>
          <w:sz w:val="20"/>
          <w:szCs w:val="20"/>
          <w:color w:val="auto"/>
        </w:rPr>
      </w:pPr>
    </w:p>
    <w:p>
      <w:pPr>
        <w:ind w:left="640" w:right="719" w:firstLine="443"/>
        <w:spacing w:after="0" w:line="242" w:lineRule="auto"/>
        <w:rPr>
          <w:sz w:val="20"/>
          <w:szCs w:val="20"/>
          <w:color w:val="auto"/>
        </w:rPr>
      </w:pPr>
      <w:r>
        <w:rPr>
          <w:rFonts w:ascii="Arial" w:cs="Arial" w:eastAsia="Arial" w:hAnsi="Arial"/>
          <w:sz w:val="14"/>
          <w:szCs w:val="14"/>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66"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779"/>
        <w:spacing w:after="0" w:line="261" w:lineRule="auto"/>
        <w:rPr>
          <w:sz w:val="20"/>
          <w:szCs w:val="20"/>
          <w:color w:val="auto"/>
        </w:rPr>
      </w:pPr>
      <w:r>
        <w:rPr>
          <w:rFonts w:ascii="Arial" w:cs="Arial" w:eastAsia="Arial" w:hAnsi="Arial"/>
          <w:sz w:val="14"/>
          <w:szCs w:val="14"/>
          <w:color w:val="auto"/>
        </w:rPr>
        <w:t>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44"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spacing w:after="0" w:line="54" w:lineRule="exact"/>
        <w:rPr>
          <w:sz w:val="20"/>
          <w:szCs w:val="20"/>
          <w:color w:val="auto"/>
        </w:rPr>
      </w:pPr>
    </w:p>
    <w:p>
      <w:pPr>
        <w:ind w:left="640" w:right="719" w:firstLine="443"/>
        <w:spacing w:after="0" w:line="243" w:lineRule="auto"/>
        <w:rPr>
          <w:sz w:val="20"/>
          <w:szCs w:val="20"/>
          <w:color w:val="auto"/>
        </w:rPr>
      </w:pPr>
      <w:r>
        <w:rPr>
          <w:rFonts w:ascii="Arial" w:cs="Arial" w:eastAsia="Arial" w:hAnsi="Arial"/>
          <w:sz w:val="14"/>
          <w:szCs w:val="14"/>
          <w:color w:val="auto"/>
        </w:rPr>
        <w:t>Third parties may assert that we are employing their proprietary technology without authorization and may sue us for patent or other intellectual property infringement.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spacing w:after="0" w:line="224"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enter into licensing arrangements or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p>
    <w:p>
      <w:pPr>
        <w:spacing w:after="0" w:line="153" w:lineRule="exact"/>
        <w:rPr>
          <w:sz w:val="20"/>
          <w:szCs w:val="20"/>
          <w:color w:val="auto"/>
        </w:rPr>
      </w:pPr>
    </w:p>
    <w:p>
      <w:pPr>
        <w:ind w:left="640" w:right="879"/>
        <w:spacing w:after="0" w:line="288" w:lineRule="auto"/>
        <w:rPr>
          <w:sz w:val="20"/>
          <w:szCs w:val="20"/>
          <w:color w:val="auto"/>
        </w:rPr>
      </w:pPr>
      <w:r>
        <w:rPr>
          <w:rFonts w:ascii="Arial" w:cs="Arial" w:eastAsia="Arial" w:hAnsi="Arial"/>
          <w:sz w:val="14"/>
          <w:szCs w:val="14"/>
          <w:b w:val="1"/>
          <w:bCs w:val="1"/>
          <w:i w:val="1"/>
          <w:iCs w:val="1"/>
          <w:color w:val="auto"/>
        </w:rPr>
        <w:t>We may be involved in lawsuits to protect or enforce our patents or other intellectual property, which could be expensive, time-consuming and unsuccessful.</w:t>
      </w:r>
    </w:p>
    <w:p>
      <w:pPr>
        <w:spacing w:after="0" w:line="20"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Competitors or other third parties may infringe our patents, trademarks or other intellectual property, or those of our collaborators or licensing partners.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spacing w:after="0" w:line="243" w:lineRule="auto"/>
        <w:rPr>
          <w:sz w:val="20"/>
          <w:szCs w:val="20"/>
          <w:color w:val="auto"/>
        </w:rPr>
      </w:pPr>
      <w:r>
        <w:rPr>
          <w:rFonts w:ascii="Arial" w:cs="Arial" w:eastAsia="Arial" w:hAnsi="Arial"/>
          <w:sz w:val="14"/>
          <w:szCs w:val="14"/>
          <w:color w:val="auto"/>
        </w:rPr>
        <w:t>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57" w:lineRule="exact"/>
        <w:rPr>
          <w:sz w:val="20"/>
          <w:szCs w:val="20"/>
          <w:color w:val="auto"/>
        </w:rPr>
      </w:pPr>
    </w:p>
    <w:p>
      <w:pPr>
        <w:ind w:left="640" w:right="739" w:firstLine="443"/>
        <w:spacing w:after="0" w:line="246" w:lineRule="auto"/>
        <w:rPr>
          <w:sz w:val="20"/>
          <w:szCs w:val="20"/>
          <w:color w:val="auto"/>
        </w:rPr>
      </w:pPr>
      <w:r>
        <w:rPr>
          <w:rFonts w:ascii="Arial" w:cs="Arial" w:eastAsia="Arial" w:hAnsi="Arial"/>
          <w:sz w:val="14"/>
          <w:szCs w:val="14"/>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spacing w:after="0" w:line="54"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We may not be able to detect infringement against our future owned or in-licensed patents, as the case may be, which may be especially difficult for manufacturing processes or formulation patents. Even if we detect infringement by a third party of our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future owned or in-licensed patents, as the case may be, against such third party.</w:t>
      </w:r>
    </w:p>
    <w:p>
      <w:pPr>
        <w:spacing w:after="0" w:line="5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If another party questions the patentability of any of our claims in our future 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future owned or in-licensed foreign patents are challenged.</w:t>
      </w:r>
    </w:p>
    <w:p>
      <w:pPr>
        <w:spacing w:after="0" w:line="54"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p>
    <w:p>
      <w:pPr>
        <w:spacing w:after="0" w:line="307" w:lineRule="exact"/>
        <w:rPr>
          <w:sz w:val="20"/>
          <w:szCs w:val="20"/>
          <w:color w:val="auto"/>
        </w:rPr>
      </w:pPr>
    </w:p>
    <w:p>
      <w:pPr>
        <w:ind w:left="640" w:right="659"/>
        <w:spacing w:after="0" w:line="264" w:lineRule="auto"/>
        <w:rPr>
          <w:sz w:val="20"/>
          <w:szCs w:val="20"/>
          <w:color w:val="auto"/>
        </w:rPr>
      </w:pPr>
      <w:r>
        <w:rPr>
          <w:rFonts w:ascii="Arial" w:cs="Arial" w:eastAsia="Arial" w:hAnsi="Arial"/>
          <w:sz w:val="14"/>
          <w:szCs w:val="14"/>
          <w:b w:val="1"/>
          <w:bCs w:val="1"/>
          <w:i w:val="1"/>
          <w:iCs w:val="1"/>
          <w:color w:val="auto"/>
        </w:rPr>
        <w:t>We may become subject to claims challenging the inventorship or ownership of our patents and other intellectual property or claims asserting that our employees, consultants or advisors have wrongfully used or disclosed alleged trade secrets of their current or former employers.</w:t>
      </w:r>
    </w:p>
    <w:p>
      <w:pPr>
        <w:spacing w:after="0" w:line="3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We may be subject to claims that former employees, collaborators or other third parties have an interest in our patents or other intellectual property, or those of our collaborators or licensors, as an inventor or co-inventor. The failure to name the proper inventors on a patent application can result in the patents issuing thereon being unenforceable or invalid.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spacing w:after="0" w:line="261" w:lineRule="auto"/>
        <w:rPr>
          <w:sz w:val="20"/>
          <w:szCs w:val="20"/>
          <w:color w:val="auto"/>
        </w:rPr>
      </w:pPr>
      <w:r>
        <w:rPr>
          <w:rFonts w:ascii="Arial" w:cs="Arial" w:eastAsia="Arial" w:hAnsi="Arial"/>
          <w:sz w:val="14"/>
          <w:szCs w:val="14"/>
          <w:color w:val="auto"/>
        </w:rPr>
        <w:t>property. Such an outcome could adversely affect our business, financial condition, results of operations and prospects. Even if we are successful in defending against such claims, litigation could result in substantial costs and be a distraction to management and other employees.</w:t>
      </w:r>
    </w:p>
    <w:p>
      <w:pPr>
        <w:spacing w:after="0" w:line="44" w:lineRule="exact"/>
        <w:rPr>
          <w:sz w:val="20"/>
          <w:szCs w:val="20"/>
          <w:color w:val="auto"/>
        </w:rPr>
      </w:pPr>
    </w:p>
    <w:p>
      <w:pPr>
        <w:ind w:left="640" w:right="759" w:firstLine="443"/>
        <w:spacing w:after="0" w:line="246" w:lineRule="auto"/>
        <w:rPr>
          <w:sz w:val="20"/>
          <w:szCs w:val="20"/>
          <w:color w:val="auto"/>
        </w:rPr>
      </w:pPr>
      <w:r>
        <w:rPr>
          <w:rFonts w:ascii="Arial" w:cs="Arial" w:eastAsia="Arial" w:hAnsi="Arial"/>
          <w:sz w:val="14"/>
          <w:szCs w:val="14"/>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spacing w:after="0" w:line="54"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54" w:lineRule="exact"/>
        <w:rPr>
          <w:sz w:val="20"/>
          <w:szCs w:val="20"/>
          <w:color w:val="auto"/>
        </w:rPr>
      </w:pPr>
    </w:p>
    <w:p>
      <w:pPr>
        <w:ind w:left="640" w:right="979" w:firstLine="443"/>
        <w:spacing w:after="0" w:line="254" w:lineRule="auto"/>
        <w:rPr>
          <w:sz w:val="20"/>
          <w:szCs w:val="20"/>
          <w:color w:val="auto"/>
        </w:rPr>
      </w:pPr>
      <w:r>
        <w:rPr>
          <w:rFonts w:ascii="Arial" w:cs="Arial" w:eastAsia="Arial" w:hAnsi="Arial"/>
          <w:sz w:val="14"/>
          <w:szCs w:val="14"/>
          <w:color w:val="auto"/>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validity and/or enforceability of our future patents throughout the world.</w:t>
      </w:r>
    </w:p>
    <w:p>
      <w:pPr>
        <w:spacing w:after="0" w:line="137" w:lineRule="exact"/>
        <w:rPr>
          <w:sz w:val="20"/>
          <w:szCs w:val="20"/>
          <w:color w:val="auto"/>
        </w:rPr>
      </w:pPr>
    </w:p>
    <w:p>
      <w:pPr>
        <w:ind w:left="640" w:right="659"/>
        <w:spacing w:after="0" w:line="264" w:lineRule="auto"/>
        <w:rPr>
          <w:sz w:val="20"/>
          <w:szCs w:val="20"/>
          <w:color w:val="auto"/>
        </w:rPr>
      </w:pPr>
      <w:r>
        <w:rPr>
          <w:rFonts w:ascii="Arial" w:cs="Arial" w:eastAsia="Arial" w:hAnsi="Arial"/>
          <w:sz w:val="14"/>
          <w:szCs w:val="14"/>
          <w:b w:val="1"/>
          <w:bCs w:val="1"/>
          <w:i w:val="1"/>
          <w:iCs w:val="1"/>
          <w:color w:val="auto"/>
        </w:rPr>
        <w:t>Patent terms may be inadequate to protect our competitive position on products or product candidates for an adequate amount of time. If we do not obtain patent term extension for our product candidates, our business may be materially harmed.</w:t>
      </w:r>
    </w:p>
    <w:p>
      <w:pPr>
        <w:spacing w:after="0" w:line="36" w:lineRule="exact"/>
        <w:rPr>
          <w:sz w:val="20"/>
          <w:szCs w:val="20"/>
          <w:color w:val="auto"/>
        </w:rPr>
      </w:pPr>
    </w:p>
    <w:p>
      <w:pPr>
        <w:ind w:left="640" w:right="779" w:firstLine="443"/>
        <w:spacing w:after="0" w:line="245"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any patents we may own or license may not provide us with sufficient and continuing rights to exclude others from commercializing products similar or identical to ours.</w:t>
      </w:r>
    </w:p>
    <w:p>
      <w:pPr>
        <w:spacing w:after="0" w:line="57"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Depending upon the timing, duration and specifics of any FDA marketing approval of any of our product candidates, any issued U.S. patents that we may own in the future may be eligible for limited patent term restoration, or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in Europe under a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719"/>
        <w:spacing w:after="0" w:line="264" w:lineRule="auto"/>
        <w:rPr>
          <w:sz w:val="20"/>
          <w:szCs w:val="20"/>
          <w:color w:val="auto"/>
        </w:rPr>
      </w:pPr>
      <w:r>
        <w:rPr>
          <w:rFonts w:ascii="Arial" w:cs="Arial" w:eastAsia="Arial" w:hAnsi="Arial"/>
          <w:sz w:val="14"/>
          <w:szCs w:val="14"/>
          <w:b w:val="1"/>
          <w:bCs w:val="1"/>
          <w:i w:val="1"/>
          <w:iCs w:val="1"/>
          <w:color w:val="auto"/>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spacing w:after="0" w:line="3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48" w:lineRule="exact"/>
        <w:rPr>
          <w:sz w:val="20"/>
          <w:szCs w:val="20"/>
          <w:color w:val="auto"/>
        </w:rPr>
      </w:pPr>
    </w:p>
    <w:p>
      <w:pPr>
        <w:ind w:left="640" w:right="719"/>
        <w:spacing w:after="0" w:line="288" w:lineRule="auto"/>
        <w:rPr>
          <w:sz w:val="20"/>
          <w:szCs w:val="20"/>
          <w:color w:val="auto"/>
        </w:rPr>
      </w:pPr>
      <w:r>
        <w:rPr>
          <w:rFonts w:ascii="Arial" w:cs="Arial" w:eastAsia="Arial" w:hAnsi="Arial"/>
          <w:sz w:val="14"/>
          <w:szCs w:val="14"/>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20"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p>
    <w:p>
      <w:pPr>
        <w:spacing w:after="0" w:line="220"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and patents that we might obtain in the future. For example, in the case, </w:t>
      </w:r>
      <w:r>
        <w:rPr>
          <w:rFonts w:ascii="Arial" w:cs="Arial" w:eastAsia="Arial" w:hAnsi="Arial"/>
          <w:sz w:val="14"/>
          <w:szCs w:val="14"/>
          <w:i w:val="1"/>
          <w:iCs w:val="1"/>
          <w:color w:val="auto"/>
        </w:rPr>
        <w:t>Assoc.</w:t>
      </w:r>
      <w:r>
        <w:rPr>
          <w:rFonts w:ascii="Arial" w:cs="Arial" w:eastAsia="Arial" w:hAnsi="Arial"/>
          <w:sz w:val="14"/>
          <w:szCs w:val="14"/>
          <w:color w:val="auto"/>
        </w:rPr>
        <w:t xml:space="preserve"> </w:t>
      </w:r>
      <w:r>
        <w:rPr>
          <w:rFonts w:ascii="Arial" w:cs="Arial" w:eastAsia="Arial" w:hAnsi="Arial"/>
          <w:sz w:val="14"/>
          <w:szCs w:val="14"/>
          <w:i w:val="1"/>
          <w:iCs w:val="1"/>
          <w:color w:val="auto"/>
        </w:rPr>
        <w:t>for Molecular Pathology v. Myriad Genetics, Inc.</w:t>
      </w:r>
      <w:r>
        <w:rPr>
          <w:rFonts w:ascii="Arial" w:cs="Arial" w:eastAsia="Arial" w:hAnsi="Arial"/>
          <w:sz w:val="14"/>
          <w:szCs w:val="14"/>
          <w:color w:val="auto"/>
        </w:rPr>
        <w:t>, the U.S. Supreme Court held that claims to certain DNA molecules are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not patentable. In </w:t>
      </w:r>
      <w:r>
        <w:rPr>
          <w:rFonts w:ascii="Arial" w:cs="Arial" w:eastAsia="Arial" w:hAnsi="Arial"/>
          <w:sz w:val="14"/>
          <w:szCs w:val="14"/>
          <w:i w:val="1"/>
          <w:iCs w:val="1"/>
          <w:color w:val="auto"/>
        </w:rPr>
        <w:t>Amgen Inc. v. Sanofi</w:t>
      </w:r>
      <w:r>
        <w:rPr>
          <w:rFonts w:ascii="Arial" w:cs="Arial" w:eastAsia="Arial" w:hAnsi="Arial"/>
          <w:sz w:val="14"/>
          <w:szCs w:val="14"/>
          <w:color w:val="auto"/>
        </w:rPr>
        <w:t>, the Federal Circuit held that claims with functional language may pose high hurdles in fulfilling the enablement requirement.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57"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significantly impacts European patents, including those granted before the introduction of the system. Under the Unitary Patent system, after a European patent is granted, the default is that the patent will be a part of the Unitary Patent system, thereby resulting in a Unitary Patent having unitary effect; the patent proprietor, however, can, in some instances, opt out of 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819"/>
        <w:spacing w:after="0" w:line="288" w:lineRule="auto"/>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20"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In addition to the protection afforded by patents, we rely on trade secret protection and confidentiality agreements to protect proprietary information and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or information. If a competitor independently develops a technology that we protect as a trade secret and files a patent application on that technology, then we may not be able to patent that technology in the future and we may require a license from the competitor to use our own technology or know-how.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spacing w:after="0" w:line="154" w:lineRule="exact"/>
        <w:rPr>
          <w:sz w:val="20"/>
          <w:szCs w:val="20"/>
          <w:color w:val="auto"/>
        </w:rPr>
      </w:pPr>
    </w:p>
    <w:p>
      <w:pPr>
        <w:ind w:left="640" w:right="1019"/>
        <w:spacing w:after="0" w:line="288" w:lineRule="auto"/>
        <w:rPr>
          <w:sz w:val="20"/>
          <w:szCs w:val="20"/>
          <w:color w:val="auto"/>
        </w:rPr>
      </w:pPr>
      <w:r>
        <w:rPr>
          <w:rFonts w:ascii="Arial" w:cs="Arial" w:eastAsia="Arial" w:hAnsi="Arial"/>
          <w:sz w:val="14"/>
          <w:szCs w:val="14"/>
          <w:b w:val="1"/>
          <w:bCs w:val="1"/>
          <w:i w:val="1"/>
          <w:iCs w:val="1"/>
          <w:color w:val="auto"/>
        </w:rPr>
        <w:t>If our trademarks and trade names are not adequately protected, then we may not be able to build brand and name recognition in our markets of interest and our business may be adversely affected.</w:t>
      </w:r>
    </w:p>
    <w:p>
      <w:pPr>
        <w:spacing w:after="0" w:line="20"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Our registered or unregistered trademarks or trade names may be challenged, infringed, circumvented, declared merely descriptive or generic or determined to be infringing on other marks. The use of our registered and unregistered marks may also be limited by certain agreements with third parties. During trademark registration proceedings, we may receive rejections of our applications by the USPTO or in other foreign jurisdictions. Although we are given an opportunity to respond to those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result in our trademarks not surviving those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65"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We may not be able to protect our rights to these trademarks and trade names, which we need to build brand and name recognition among potential partners or future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brand and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business.</w:t>
      </w:r>
    </w:p>
    <w:p>
      <w:pPr>
        <w:spacing w:after="0" w:line="84" w:lineRule="exact"/>
        <w:rPr>
          <w:sz w:val="20"/>
          <w:szCs w:val="20"/>
          <w:color w:val="auto"/>
        </w:rPr>
      </w:pPr>
    </w:p>
    <w:p>
      <w:pPr>
        <w:ind w:left="640" w:right="659" w:firstLine="443"/>
        <w:spacing w:after="0" w:line="261"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4" w:lineRule="exact"/>
        <w:rPr>
          <w:sz w:val="20"/>
          <w:szCs w:val="20"/>
          <w:color w:val="auto"/>
        </w:rPr>
      </w:pPr>
    </w:p>
    <w:p>
      <w:pPr>
        <w:ind w:left="1260" w:right="879" w:hanging="179"/>
        <w:spacing w:after="0" w:line="281" w:lineRule="auto"/>
        <w:tabs>
          <w:tab w:leader="none" w:pos="126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others may be able to develop products that are similar to our product candidates but that are not covered by the claims of our patent applications and any patents that we may own or license;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779" w:hanging="179"/>
        <w:spacing w:after="0" w:line="281" w:lineRule="auto"/>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we or our licensors or collaborators might not have been the first to make the inventions covered by the issued patents or patent application that we may own or license;</w:t>
      </w:r>
    </w:p>
    <w:p>
      <w:pPr>
        <w:spacing w:after="0" w:line="30"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we or our licensors or collaborators might not have been the first to file patent applications covering certain of our inventions;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it is possible that the pending patent applications we own or license will not lead to issued patents;</w:t>
      </w:r>
    </w:p>
    <w:p>
      <w:pPr>
        <w:spacing w:after="0" w:line="96"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issued patents that we may own or license may be held invalid or unenforceable as a result of legal challenges by our competitors;</w:t>
      </w:r>
    </w:p>
    <w:p>
      <w:pPr>
        <w:spacing w:after="0" w:line="30" w:lineRule="exact"/>
        <w:rPr>
          <w:rFonts w:ascii="Times New Roman" w:cs="Times New Roman" w:eastAsia="Times New Roman" w:hAnsi="Times New Roman"/>
          <w:sz w:val="14"/>
          <w:szCs w:val="14"/>
          <w:color w:val="auto"/>
        </w:rPr>
      </w:pPr>
    </w:p>
    <w:p>
      <w:pPr>
        <w:jc w:val="both"/>
        <w:ind w:left="1260" w:right="819" w:hanging="179"/>
        <w:spacing w:after="0" w:line="260" w:lineRule="auto"/>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we may not develop additional proprietary technologies that are patentable;</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the patents of others may have an adverse effect on our business;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we may fail to adequately protect and police our trademarks and trade secrets; and</w:t>
      </w:r>
    </w:p>
    <w:p>
      <w:pPr>
        <w:spacing w:after="0" w:line="96" w:lineRule="exact"/>
        <w:rPr>
          <w:rFonts w:ascii="Times New Roman" w:cs="Times New Roman" w:eastAsia="Times New Roman" w:hAnsi="Times New Roman"/>
          <w:sz w:val="14"/>
          <w:szCs w:val="14"/>
          <w:color w:val="auto"/>
        </w:rPr>
      </w:pPr>
    </w:p>
    <w:p>
      <w:pPr>
        <w:ind w:left="1260" w:right="659" w:hanging="179"/>
        <w:spacing w:after="0" w:line="281" w:lineRule="auto"/>
        <w:tabs>
          <w:tab w:leader="none" w:pos="126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we may choose not to file a patent application in order to maintain certain trade secrets or know-how, and a third party may subsequently file a patent application covering such intellectual property.</w:t>
      </w:r>
    </w:p>
    <w:p>
      <w:pPr>
        <w:spacing w:after="0" w:line="30" w:lineRule="exact"/>
        <w:rPr>
          <w:sz w:val="20"/>
          <w:szCs w:val="20"/>
          <w:color w:val="auto"/>
        </w:rPr>
      </w:pPr>
    </w:p>
    <w:p>
      <w:pPr>
        <w:ind w:left="640" w:right="699" w:firstLine="443"/>
        <w:spacing w:after="0" w:line="282" w:lineRule="auto"/>
        <w:rPr>
          <w:sz w:val="20"/>
          <w:szCs w:val="20"/>
          <w:color w:val="auto"/>
        </w:rPr>
      </w:pPr>
      <w:r>
        <w:rPr>
          <w:rFonts w:ascii="Arial" w:cs="Arial" w:eastAsia="Arial" w:hAnsi="Arial"/>
          <w:sz w:val="14"/>
          <w:szCs w:val="14"/>
          <w:color w:val="auto"/>
        </w:rPr>
        <w:t>Should any of these events occur, it could significantly harm our business, financial condition, results of operations and prospects.</w:t>
      </w:r>
    </w:p>
    <w:p>
      <w:pPr>
        <w:spacing w:after="0" w:line="118" w:lineRule="exact"/>
        <w:rPr>
          <w:sz w:val="20"/>
          <w:szCs w:val="20"/>
          <w:color w:val="auto"/>
        </w:rPr>
      </w:pPr>
    </w:p>
    <w:p>
      <w:pPr>
        <w:ind w:left="640" w:right="699"/>
        <w:spacing w:after="0" w:line="288" w:lineRule="auto"/>
        <w:rPr>
          <w:sz w:val="20"/>
          <w:szCs w:val="20"/>
          <w:color w:val="auto"/>
        </w:rPr>
      </w:pPr>
      <w:r>
        <w:rPr>
          <w:rFonts w:ascii="Arial" w:cs="Arial" w:eastAsia="Arial" w:hAnsi="Arial"/>
          <w:sz w:val="14"/>
          <w:szCs w:val="14"/>
          <w:b w:val="1"/>
          <w:bCs w:val="1"/>
          <w:i w:val="1"/>
          <w:iCs w:val="1"/>
          <w:color w:val="auto"/>
        </w:rPr>
        <w:t>We have limited foreign intellectual property rights and may not be able to protect our intellectual property rights throughout the world.</w:t>
      </w:r>
    </w:p>
    <w:p>
      <w:pPr>
        <w:spacing w:after="0" w:line="20"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this type of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61"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Disclosure of this nature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Risks Related to Government Regulation</w:t>
      </w:r>
    </w:p>
    <w:p>
      <w:pPr>
        <w:spacing w:after="0" w:line="88" w:lineRule="exact"/>
        <w:rPr>
          <w:sz w:val="20"/>
          <w:szCs w:val="20"/>
          <w:color w:val="auto"/>
        </w:rPr>
      </w:pPr>
    </w:p>
    <w:p>
      <w:pPr>
        <w:ind w:left="640" w:right="659"/>
        <w:spacing w:after="0" w:line="264" w:lineRule="auto"/>
        <w:rPr>
          <w:sz w:val="20"/>
          <w:szCs w:val="20"/>
          <w:color w:val="auto"/>
        </w:rPr>
      </w:pPr>
      <w:r>
        <w:rPr>
          <w:rFonts w:ascii="Arial" w:cs="Arial" w:eastAsia="Arial" w:hAnsi="Arial"/>
          <w:sz w:val="14"/>
          <w:szCs w:val="14"/>
          <w:b w:val="1"/>
          <w:bCs w:val="1"/>
          <w:i w:val="1"/>
          <w:iCs w:val="1"/>
          <w:color w:val="auto"/>
        </w:rPr>
        <w:t>Even if we are able to commercialize any product candidates, those products may become subject to unfavorable pricing regulations, third-party reimbursement practices or healthcare reform initiatives, which could harm our business.</w:t>
      </w:r>
    </w:p>
    <w:p>
      <w:pPr>
        <w:spacing w:after="0" w:line="36"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148" w:lineRule="exact"/>
        <w:rPr>
          <w:sz w:val="20"/>
          <w:szCs w:val="20"/>
          <w:color w:val="auto"/>
        </w:rPr>
      </w:pPr>
    </w:p>
    <w:p>
      <w:pPr>
        <w:ind w:left="640" w:right="1359"/>
        <w:spacing w:after="0" w:line="288" w:lineRule="auto"/>
        <w:rPr>
          <w:sz w:val="20"/>
          <w:szCs w:val="20"/>
          <w:color w:val="auto"/>
        </w:rPr>
      </w:pPr>
      <w:r>
        <w:rPr>
          <w:rFonts w:ascii="Arial" w:cs="Arial" w:eastAsia="Arial" w:hAnsi="Arial"/>
          <w:sz w:val="14"/>
          <w:szCs w:val="14"/>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20" w:lineRule="exact"/>
        <w:rPr>
          <w:sz w:val="20"/>
          <w:szCs w:val="20"/>
          <w:color w:val="auto"/>
        </w:rPr>
      </w:pPr>
    </w:p>
    <w:p>
      <w:pPr>
        <w:ind w:left="640" w:right="819" w:firstLine="443"/>
        <w:spacing w:after="0" w:line="246" w:lineRule="auto"/>
        <w:rPr>
          <w:sz w:val="20"/>
          <w:szCs w:val="20"/>
          <w:color w:val="auto"/>
        </w:rPr>
      </w:pPr>
      <w:r>
        <w:rPr>
          <w:rFonts w:ascii="Arial" w:cs="Arial" w:eastAsia="Arial" w:hAnsi="Arial"/>
          <w:sz w:val="14"/>
          <w:szCs w:val="14"/>
          <w:color w:val="auto"/>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spacing w:after="0" w:line="54" w:lineRule="exact"/>
        <w:rPr>
          <w:sz w:val="20"/>
          <w:szCs w:val="20"/>
          <w:color w:val="auto"/>
        </w:rPr>
      </w:pPr>
    </w:p>
    <w:p>
      <w:pPr>
        <w:ind w:left="640" w:right="799" w:firstLine="443"/>
        <w:spacing w:after="0" w:line="250" w:lineRule="auto"/>
        <w:rPr>
          <w:sz w:val="20"/>
          <w:szCs w:val="20"/>
          <w:color w:val="auto"/>
        </w:rPr>
      </w:pPr>
      <w:r>
        <w:rPr>
          <w:rFonts w:ascii="Arial" w:cs="Arial" w:eastAsia="Arial" w:hAnsi="Arial"/>
          <w:sz w:val="14"/>
          <w:szCs w:val="14"/>
          <w:color w:val="auto"/>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53" w:lineRule="exact"/>
        <w:rPr>
          <w:sz w:val="20"/>
          <w:szCs w:val="20"/>
          <w:color w:val="auto"/>
        </w:rPr>
      </w:pPr>
    </w:p>
    <w:p>
      <w:pPr>
        <w:ind w:left="1260" w:hanging="179"/>
        <w:spacing w:after="0"/>
        <w:tabs>
          <w:tab w:leader="none" w:pos="1260"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a covered benefit under its health plan;</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safe, effective and medically necessary;</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appropriate for the specific patient;</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cost-effective; and</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neither experimental nor investigational.</w:t>
      </w:r>
    </w:p>
    <w:p>
      <w:pPr>
        <w:spacing w:after="0" w:line="96"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p>
    <w:p>
      <w:pPr>
        <w:spacing w:after="0" w:line="60"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Specifically, the Centers for Medicare &amp; Medicaid Services, or CMS, imposes rebates on many Medicare Part B and Medicare Part D products to penalize price increases that outpace inflation on an annual basis. The Department of Health and Human Services, or HHS, has also been empowered to negotiate the price of certain single-source drugs that have been on the market for at least seven years and single-source biologics that have been on the market for at least 11 years covered under Medicare as part of the Medicare Drug Price Negotiation Program. Each year, up to 20 products will be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919"/>
        <w:spacing w:after="0" w:line="261" w:lineRule="auto"/>
        <w:rPr>
          <w:sz w:val="20"/>
          <w:szCs w:val="20"/>
          <w:color w:val="auto"/>
        </w:rPr>
      </w:pPr>
      <w:r>
        <w:rPr>
          <w:rFonts w:ascii="Arial" w:cs="Arial" w:eastAsia="Arial" w:hAnsi="Arial"/>
          <w:sz w:val="14"/>
          <w:szCs w:val="14"/>
          <w:color w:val="auto"/>
        </w:rPr>
        <w:t>selected by HHS for the Medicare Drug Price Negotiation Program. Products subject to the Medicare Drug Price Negotiation Program are expected to experience a significant reduction in reimbursement from the Medicare program, and potential negative pricing effects in other market channels, on a per unit basis.</w:t>
      </w:r>
    </w:p>
    <w:p>
      <w:pPr>
        <w:spacing w:after="0" w:line="44"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57"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54" w:lineRule="exact"/>
        <w:rPr>
          <w:sz w:val="20"/>
          <w:szCs w:val="20"/>
          <w:color w:val="auto"/>
        </w:rPr>
      </w:pPr>
    </w:p>
    <w:p>
      <w:pPr>
        <w:ind w:left="640" w:right="819" w:firstLine="443"/>
        <w:spacing w:after="0" w:line="246" w:lineRule="auto"/>
        <w:rPr>
          <w:sz w:val="20"/>
          <w:szCs w:val="20"/>
          <w:color w:val="auto"/>
        </w:rPr>
      </w:pPr>
      <w:r>
        <w:rPr>
          <w:rFonts w:ascii="Arial" w:cs="Arial" w:eastAsia="Arial" w:hAnsi="Arial"/>
          <w:sz w:val="14"/>
          <w:szCs w:val="14"/>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42" w:lineRule="exact"/>
        <w:rPr>
          <w:sz w:val="20"/>
          <w:szCs w:val="20"/>
          <w:color w:val="auto"/>
        </w:rPr>
      </w:pPr>
    </w:p>
    <w:p>
      <w:pPr>
        <w:ind w:left="640" w:right="799"/>
        <w:spacing w:after="0" w:line="264" w:lineRule="auto"/>
        <w:rPr>
          <w:sz w:val="20"/>
          <w:szCs w:val="20"/>
          <w:color w:val="auto"/>
        </w:rPr>
      </w:pPr>
      <w:r>
        <w:rPr>
          <w:rFonts w:ascii="Arial" w:cs="Arial" w:eastAsia="Arial" w:hAnsi="Arial"/>
          <w:sz w:val="14"/>
          <w:szCs w:val="14"/>
          <w:b w:val="1"/>
          <w:bCs w:val="1"/>
          <w:i w:val="1"/>
          <w:iCs w:val="1"/>
          <w:color w:val="auto"/>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36"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fraud and abuse and other healthcare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spacing w:after="0" w:line="55" w:lineRule="exact"/>
        <w:rPr>
          <w:sz w:val="20"/>
          <w:szCs w:val="20"/>
          <w:color w:val="auto"/>
        </w:rPr>
      </w:pPr>
    </w:p>
    <w:p>
      <w:pPr>
        <w:ind w:left="1260" w:right="659" w:hanging="179"/>
        <w:spacing w:after="0" w:line="246" w:lineRule="auto"/>
        <w:tabs>
          <w:tab w:leader="none" w:pos="1260" w:val="left"/>
        </w:tabs>
        <w:numPr>
          <w:ilvl w:val="0"/>
          <w:numId w:val="31"/>
        </w:numPr>
        <w:rPr>
          <w:rFonts w:ascii="Times New Roman" w:cs="Times New Roman" w:eastAsia="Times New Roman" w:hAnsi="Times New Roman"/>
          <w:sz w:val="14"/>
          <w:szCs w:val="14"/>
          <w:color w:val="auto"/>
        </w:rPr>
      </w:pPr>
      <w:r>
        <w:rPr>
          <w:rFonts w:ascii="Arial" w:cs="Arial" w:eastAsia="Arial" w:hAnsi="Arial"/>
          <w:sz w:val="14"/>
          <w:szCs w:val="14"/>
          <w:color w:val="auto"/>
        </w:rPr>
        <w:t>the federal Anti-Kickback Statute, which prohibits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53" w:lineRule="exact"/>
        <w:rPr>
          <w:rFonts w:ascii="Times New Roman" w:cs="Times New Roman" w:eastAsia="Times New Roman" w:hAnsi="Times New Roman"/>
          <w:sz w:val="14"/>
          <w:szCs w:val="14"/>
          <w:color w:val="auto"/>
        </w:rPr>
      </w:pPr>
    </w:p>
    <w:p>
      <w:pPr>
        <w:ind w:left="1260" w:right="699" w:hanging="179"/>
        <w:spacing w:after="0" w:line="254" w:lineRule="auto"/>
        <w:tabs>
          <w:tab w:leader="none" w:pos="1260" w:val="left"/>
        </w:tabs>
        <w:numPr>
          <w:ilvl w:val="0"/>
          <w:numId w:val="31"/>
        </w:numPr>
        <w:rPr>
          <w:rFonts w:ascii="Times New Roman" w:cs="Times New Roman" w:eastAsia="Times New Roman" w:hAnsi="Times New Roman"/>
          <w:sz w:val="14"/>
          <w:szCs w:val="14"/>
          <w:color w:val="auto"/>
        </w:rPr>
      </w:pPr>
      <w:r>
        <w:rPr>
          <w:rFonts w:ascii="Arial" w:cs="Arial" w:eastAsia="Arial" w:hAnsi="Arial"/>
          <w:sz w:val="14"/>
          <w:szCs w:val="14"/>
          <w:color w:val="auto"/>
        </w:rPr>
        <w:t>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679"/>
        <w:spacing w:after="0" w:line="247" w:lineRule="auto"/>
        <w:rPr>
          <w:sz w:val="20"/>
          <w:szCs w:val="20"/>
          <w:color w:val="auto"/>
        </w:rPr>
      </w:pPr>
      <w:r>
        <w:rPr>
          <w:rFonts w:ascii="Arial" w:cs="Arial" w:eastAsia="Arial" w:hAnsi="Arial"/>
          <w:sz w:val="14"/>
          <w:szCs w:val="14"/>
          <w:color w:val="auto"/>
        </w:rPr>
        <w:t>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54" w:lineRule="exact"/>
        <w:rPr>
          <w:sz w:val="20"/>
          <w:szCs w:val="20"/>
          <w:color w:val="auto"/>
        </w:rPr>
      </w:pPr>
    </w:p>
    <w:p>
      <w:pPr>
        <w:ind w:left="1260" w:right="719" w:hanging="179"/>
        <w:spacing w:after="0" w:line="245" w:lineRule="auto"/>
        <w:tabs>
          <w:tab w:leader="none" w:pos="126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55" w:lineRule="exact"/>
        <w:rPr>
          <w:rFonts w:ascii="Times New Roman" w:cs="Times New Roman" w:eastAsia="Times New Roman" w:hAnsi="Times New Roman"/>
          <w:sz w:val="14"/>
          <w:szCs w:val="14"/>
          <w:color w:val="auto"/>
        </w:rPr>
      </w:pPr>
    </w:p>
    <w:p>
      <w:pPr>
        <w:ind w:left="1260" w:right="659" w:hanging="179"/>
        <w:spacing w:after="0" w:line="248" w:lineRule="auto"/>
        <w:tabs>
          <w:tab w:leader="none" w:pos="126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53" w:lineRule="exact"/>
        <w:rPr>
          <w:rFonts w:ascii="Times New Roman" w:cs="Times New Roman" w:eastAsia="Times New Roman" w:hAnsi="Times New Roman"/>
          <w:sz w:val="14"/>
          <w:szCs w:val="14"/>
          <w:color w:val="auto"/>
        </w:rPr>
      </w:pPr>
    </w:p>
    <w:p>
      <w:pPr>
        <w:jc w:val="both"/>
        <w:ind w:left="1260" w:right="699" w:hanging="179"/>
        <w:spacing w:after="0" w:line="250" w:lineRule="auto"/>
        <w:tabs>
          <w:tab w:leader="none" w:pos="126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52"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federal price reporting laws, which require manufacturers to calculate and report complex pricing metrics to government programs that may be used in the calculation of reimbursement or discounts on approved products;</w:t>
      </w:r>
    </w:p>
    <w:p>
      <w:pPr>
        <w:spacing w:after="0" w:line="30" w:lineRule="exact"/>
        <w:rPr>
          <w:rFonts w:ascii="Times New Roman" w:cs="Times New Roman" w:eastAsia="Times New Roman" w:hAnsi="Times New Roman"/>
          <w:sz w:val="14"/>
          <w:szCs w:val="14"/>
          <w:color w:val="auto"/>
        </w:rPr>
      </w:pPr>
    </w:p>
    <w:p>
      <w:pPr>
        <w:ind w:left="1260" w:right="719" w:hanging="179"/>
        <w:spacing w:after="0" w:line="247" w:lineRule="auto"/>
        <w:tabs>
          <w:tab w:leader="none" w:pos="126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spacing w:after="0" w:line="53" w:lineRule="exact"/>
        <w:rPr>
          <w:rFonts w:ascii="Times New Roman" w:cs="Times New Roman" w:eastAsia="Times New Roman" w:hAnsi="Times New Roman"/>
          <w:sz w:val="14"/>
          <w:szCs w:val="14"/>
          <w:color w:val="auto"/>
        </w:rPr>
      </w:pPr>
    </w:p>
    <w:p>
      <w:pPr>
        <w:ind w:left="1260" w:right="1019" w:hanging="179"/>
        <w:spacing w:after="0" w:line="281" w:lineRule="auto"/>
        <w:tabs>
          <w:tab w:leader="none" w:pos="126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federal consumer protection and unfair competition laws, which broadly regulate marketplace activities and activities that potentially harm consumers; and</w:t>
      </w:r>
    </w:p>
    <w:p>
      <w:pPr>
        <w:spacing w:after="0" w:line="30" w:lineRule="exact"/>
        <w:rPr>
          <w:rFonts w:ascii="Times New Roman" w:cs="Times New Roman" w:eastAsia="Times New Roman" w:hAnsi="Times New Roman"/>
          <w:sz w:val="14"/>
          <w:szCs w:val="14"/>
          <w:color w:val="auto"/>
        </w:rPr>
      </w:pPr>
    </w:p>
    <w:p>
      <w:pPr>
        <w:ind w:left="1260" w:right="679" w:hanging="179"/>
        <w:spacing w:after="0" w:line="246" w:lineRule="auto"/>
        <w:tabs>
          <w:tab w:leader="none" w:pos="126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54" w:lineRule="exact"/>
        <w:rPr>
          <w:sz w:val="20"/>
          <w:szCs w:val="20"/>
          <w:color w:val="auto"/>
        </w:rPr>
      </w:pPr>
    </w:p>
    <w:p>
      <w:pPr>
        <w:ind w:left="640" w:right="1079" w:firstLine="443"/>
        <w:spacing w:after="0" w:line="261"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licensing, record keeping, storage and security requirements intended to prevent the unauthorized sale of pharmaceutical products.</w:t>
      </w:r>
    </w:p>
    <w:p>
      <w:pPr>
        <w:spacing w:after="0" w:line="44" w:lineRule="exact"/>
        <w:rPr>
          <w:sz w:val="20"/>
          <w:szCs w:val="20"/>
          <w:color w:val="auto"/>
        </w:rPr>
      </w:pPr>
    </w:p>
    <w:p>
      <w:pPr>
        <w:ind w:left="640" w:right="699" w:firstLine="443"/>
        <w:spacing w:after="0" w:line="250" w:lineRule="auto"/>
        <w:rPr>
          <w:sz w:val="20"/>
          <w:szCs w:val="20"/>
          <w:color w:val="auto"/>
        </w:rPr>
      </w:pPr>
      <w:r>
        <w:rPr>
          <w:rFonts w:ascii="Arial" w:cs="Arial" w:eastAsia="Arial" w:hAnsi="Arial"/>
          <w:sz w:val="14"/>
          <w:szCs w:val="14"/>
          <w:color w:val="auto"/>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1079"/>
        <w:spacing w:after="0" w:line="282" w:lineRule="auto"/>
        <w:rPr>
          <w:sz w:val="20"/>
          <w:szCs w:val="20"/>
          <w:color w:val="auto"/>
        </w:rPr>
      </w:pPr>
      <w:r>
        <w:rPr>
          <w:rFonts w:ascii="Arial" w:cs="Arial" w:eastAsia="Arial" w:hAnsi="Arial"/>
          <w:sz w:val="14"/>
          <w:szCs w:val="14"/>
          <w:color w:val="auto"/>
        </w:rPr>
        <w:t>government authorities, can be time- and resource-consuming and may divert our management’s attention from the operation of our business.</w:t>
      </w:r>
    </w:p>
    <w:p>
      <w:pPr>
        <w:spacing w:after="0" w:line="30"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w:t>
      </w:r>
    </w:p>
    <w:p>
      <w:pPr>
        <w:spacing w:after="0" w:line="145" w:lineRule="exact"/>
        <w:rPr>
          <w:sz w:val="20"/>
          <w:szCs w:val="20"/>
          <w:color w:val="auto"/>
        </w:rPr>
      </w:pPr>
    </w:p>
    <w:p>
      <w:pPr>
        <w:ind w:left="640" w:right="699"/>
        <w:spacing w:after="0" w:line="249" w:lineRule="auto"/>
        <w:rPr>
          <w:sz w:val="20"/>
          <w:szCs w:val="20"/>
          <w:color w:val="auto"/>
        </w:rPr>
      </w:pPr>
      <w:r>
        <w:rPr>
          <w:rFonts w:ascii="Arial" w:cs="Arial" w:eastAsia="Arial" w:hAnsi="Arial"/>
          <w:sz w:val="14"/>
          <w:szCs w:val="14"/>
          <w:b w:val="1"/>
          <w:bCs w:val="1"/>
          <w:i w:val="1"/>
          <w:iCs w:val="1"/>
          <w:color w:val="auto"/>
        </w:rPr>
        <w:t>We may attempt to seek approval from the FDA for one or more of our product candidates through the use of the accelerated approval pathway. If we are unable to obtain accelerated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48"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We may in the future seek an accelerated approval for one or more of our product candidates. Under the accelerated approval pathway, the FDA may approve a product candidate for a serious or life-threatening disease or condition with unmet medical need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Products granted accelerated approval are subject to certain post-marketing requirements, which typically include a requirement to conduct one or more post-approval studies to confirm the clinical benefit of the product. In addition, during the pre-approval review period, FDA regulations require that sponsors of products granted accelerated approval submit copies of all promotional materials intended to be used within 120 days following marketing approval. After 120 days following marketing approval, unless otherwise informed by the FDA, the sponsor must submit all promotional materials at least 30 days prior to use. There can be no assurance that we will be able to use the accelerated approval pathway or any other form of expedited development, review or approval for any of our product candidates. For example,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Also, if any of our competitors were to receive full approval for an indication for which we are seeking accelerated approval before we receive accelerated approval for any one of our product candidates, the indication we are seeking may no longer qualify as a condition for which there is an unmet medical need, and our product candidate may become ineligible for accelerated approval.</w:t>
      </w:r>
    </w:p>
    <w:p>
      <w:pPr>
        <w:spacing w:after="0" w:line="63" w:lineRule="exact"/>
        <w:rPr>
          <w:sz w:val="20"/>
          <w:szCs w:val="20"/>
          <w:color w:val="auto"/>
        </w:rPr>
      </w:pPr>
    </w:p>
    <w:p>
      <w:pPr>
        <w:ind w:left="640" w:right="839" w:firstLine="443"/>
        <w:spacing w:after="0" w:line="250" w:lineRule="auto"/>
        <w:rPr>
          <w:sz w:val="20"/>
          <w:szCs w:val="20"/>
          <w:color w:val="auto"/>
        </w:rPr>
      </w:pPr>
      <w:r>
        <w:rPr>
          <w:rFonts w:ascii="Arial" w:cs="Arial" w:eastAsia="Arial" w:hAnsi="Arial"/>
          <w:sz w:val="14"/>
          <w:szCs w:val="14"/>
          <w:color w:val="auto"/>
        </w:rPr>
        <w:t>A failure to obtain accelerated approval would result in a longer time period to commercialization of such product candidate, if any,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p>
    <w:p>
      <w:pPr>
        <w:spacing w:after="0" w:line="141" w:lineRule="exact"/>
        <w:rPr>
          <w:sz w:val="20"/>
          <w:szCs w:val="20"/>
          <w:color w:val="auto"/>
        </w:rPr>
      </w:pPr>
    </w:p>
    <w:p>
      <w:pPr>
        <w:ind w:left="640" w:right="719"/>
        <w:spacing w:after="0" w:line="256" w:lineRule="auto"/>
        <w:rPr>
          <w:sz w:val="20"/>
          <w:szCs w:val="20"/>
          <w:color w:val="auto"/>
        </w:rPr>
      </w:pPr>
      <w:r>
        <w:rPr>
          <w:rFonts w:ascii="Arial" w:cs="Arial" w:eastAsia="Arial" w:hAnsi="Arial"/>
          <w:sz w:val="14"/>
          <w:szCs w:val="14"/>
          <w:b w:val="1"/>
          <w:bCs w:val="1"/>
          <w:i w:val="1"/>
          <w:iCs w:val="1"/>
          <w:color w:val="auto"/>
        </w:rPr>
        <w:t>We may seek a Breakthrough Therapy or Fast Track designation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p>
    <w:p>
      <w:pPr>
        <w:spacing w:after="0" w:line="41"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spacing w:after="0" w:line="250" w:lineRule="auto"/>
        <w:rPr>
          <w:sz w:val="20"/>
          <w:szCs w:val="20"/>
          <w:color w:val="auto"/>
        </w:rPr>
      </w:pPr>
      <w:r>
        <w:rPr>
          <w:rFonts w:ascii="Arial" w:cs="Arial" w:eastAsia="Arial" w:hAnsi="Arial"/>
          <w:sz w:val="14"/>
          <w:szCs w:val="14"/>
          <w:color w:val="auto"/>
        </w:rPr>
        <w:t>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the disease or condition. Fast Track designation applies to the combination of the product and the specific indication for which it is being studied.</w:t>
      </w:r>
    </w:p>
    <w:p>
      <w:pPr>
        <w:spacing w:after="0" w:line="53"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The FDA has broad discretion as to whether or not to grant Breakthrough Therapy or Fast Track designation to any product candidate. Accordingly, even if we believe that a product candidate meets the criteria for designation as a Breakthrough Therapy or a Fast Track designation, the FDA may disagree and instead determine not to make such a designation. Even if we receive a Breakthrough Therapy or Fast Track designation, the receipt of that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the FDA may later decide that it no longer meets the conditions for qualification or decide that the time period for FDA review or approval will not be shortened. The failure to obtain a Breakthrough Therapy or Fast Track designation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w:t>
      </w:r>
    </w:p>
    <w:p>
      <w:pPr>
        <w:spacing w:after="0" w:line="143" w:lineRule="exact"/>
        <w:rPr>
          <w:sz w:val="20"/>
          <w:szCs w:val="20"/>
          <w:color w:val="auto"/>
        </w:rPr>
      </w:pPr>
    </w:p>
    <w:p>
      <w:pPr>
        <w:ind w:left="640" w:right="739"/>
        <w:spacing w:after="0" w:line="264" w:lineRule="auto"/>
        <w:rPr>
          <w:sz w:val="20"/>
          <w:szCs w:val="20"/>
          <w:color w:val="auto"/>
        </w:rPr>
      </w:pPr>
      <w:r>
        <w:rPr>
          <w:rFonts w:ascii="Arial" w:cs="Arial" w:eastAsia="Arial" w:hAnsi="Arial"/>
          <w:sz w:val="14"/>
          <w:szCs w:val="14"/>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36" w:lineRule="exact"/>
        <w:rPr>
          <w:sz w:val="20"/>
          <w:szCs w:val="20"/>
          <w:color w:val="auto"/>
        </w:rPr>
      </w:pPr>
    </w:p>
    <w:p>
      <w:pPr>
        <w:ind w:left="640" w:right="799" w:firstLine="443"/>
        <w:spacing w:after="0" w:line="250" w:lineRule="auto"/>
        <w:rPr>
          <w:sz w:val="20"/>
          <w:szCs w:val="20"/>
          <w:color w:val="auto"/>
        </w:rPr>
      </w:pPr>
      <w:r>
        <w:rPr>
          <w:rFonts w:ascii="Arial" w:cs="Arial" w:eastAsia="Arial" w:hAnsi="Arial"/>
          <w:sz w:val="14"/>
          <w:szCs w:val="14"/>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53" w:lineRule="exact"/>
        <w:rPr>
          <w:sz w:val="20"/>
          <w:szCs w:val="20"/>
          <w:color w:val="auto"/>
        </w:rPr>
      </w:pPr>
    </w:p>
    <w:p>
      <w:pPr>
        <w:ind w:left="640" w:right="699" w:firstLine="443"/>
        <w:spacing w:after="0" w:line="254" w:lineRule="auto"/>
        <w:rPr>
          <w:sz w:val="20"/>
          <w:szCs w:val="20"/>
          <w:color w:val="auto"/>
        </w:rPr>
      </w:pPr>
      <w:r>
        <w:rPr>
          <w:rFonts w:ascii="Arial" w:cs="Arial" w:eastAsia="Arial" w:hAnsi="Arial"/>
          <w:sz w:val="14"/>
          <w:szCs w:val="14"/>
          <w:color w:val="auto"/>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w:t>
      </w:r>
    </w:p>
    <w:p>
      <w:pPr>
        <w:spacing w:after="0" w:line="49"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Further,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224"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The current administration is pursuing policies to reduce regulations and expenditures across government agencies including at HHS, the FDA, CMS and related agencies. These actions, presently directed by executive orders, memoranda or proposed rules from the Office of Management and Budget, may propose policy changes that create additional uncertainty for our business. For example, the current administration has announced agreements with several pharmaceutical companies that require the drug manufacturers to offer Most-Favored Nation pricing equal to or lower than those paid in other developed nations for certain prescription drugs under Medicaid and for certain newly launched products across all market channels in the U.S., with additional mandates for direct-to-patient discounts through a direct to consumer platform, or TrumpRx, and repatriation of certain foreign revenues. In late 2025, HHS proposed three payment models that would test MFN pricing in Medicaid, Medicare Part D, and Medicare Part B. On November 6, 2025, CMS announced the “GENErating cost Reductions fOr U.S.”, or GENEROUS, model under which manufacturers can provide MFN pricing to state Medicaid agencies on a voluntary basis. On December 19, 2025, CMS published proposed rules for two mandatory drug pricing models for Medicare: the “GlobalBenchmark for Efficient Drug Pricing”, or GLOBE, model for products payable under Medicare Part B and the “GuardingU.S. Medicare Against Rising Drug Costs”, or GUARD, model for products covered under Medicare Part D. If GLOBE and GUARD are finalized, pharmaceutical manufacturers would be required to pay MFN-based rebates on eligible products for 25% of eligible Medicare beneficiaries during the applicable testing period.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firstLine="443"/>
        <w:spacing w:after="0" w:line="243" w:lineRule="auto"/>
        <w:rPr>
          <w:sz w:val="20"/>
          <w:szCs w:val="20"/>
          <w:color w:val="auto"/>
        </w:rPr>
      </w:pPr>
      <w:r>
        <w:rPr>
          <w:rFonts w:ascii="Arial" w:cs="Arial" w:eastAsia="Arial" w:hAnsi="Arial"/>
          <w:sz w:val="14"/>
          <w:szCs w:val="14"/>
          <w:color w:val="auto"/>
        </w:rPr>
        <w:t xml:space="preserve">In addition, the current administration has taken other action that could affect our business such as (1) directing agencies to reduce agency workforce and cut programs; (2) directing HHS and other agencies to lower prescription drug costs through a variety of initiatives; (3) considering the imposition of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Arial" w:cs="Arial" w:eastAsia="Arial" w:hAnsi="Arial"/>
          <w:sz w:val="14"/>
          <w:szCs w:val="14"/>
          <w:i w:val="1"/>
          <w:iCs w:val="1"/>
          <w:color w:val="auto"/>
        </w:rPr>
        <w:t>Loper Bright</w:t>
      </w:r>
      <w:r>
        <w:rPr>
          <w:rFonts w:ascii="Arial" w:cs="Arial" w:eastAsia="Arial" w:hAnsi="Arial"/>
          <w:sz w:val="14"/>
          <w:szCs w:val="14"/>
          <w:color w:val="auto"/>
        </w:rPr>
        <w:t xml:space="preserve">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59" w:lineRule="exact"/>
        <w:rPr>
          <w:sz w:val="20"/>
          <w:szCs w:val="20"/>
          <w:color w:val="auto"/>
        </w:rPr>
      </w:pPr>
    </w:p>
    <w:p>
      <w:pPr>
        <w:ind w:left="640" w:right="739" w:firstLine="443"/>
        <w:spacing w:after="0" w:line="247" w:lineRule="auto"/>
        <w:rPr>
          <w:sz w:val="20"/>
          <w:szCs w:val="20"/>
          <w:color w:val="auto"/>
        </w:rPr>
      </w:pPr>
      <w:r>
        <w:rPr>
          <w:rFonts w:ascii="Arial" w:cs="Arial" w:eastAsia="Arial" w:hAnsi="Arial"/>
          <w:sz w:val="14"/>
          <w:szCs w:val="14"/>
          <w:color w:val="auto"/>
        </w:rPr>
        <w:t>We expect these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It is unclear what impact, if any, the current presidential administration may have on such measures.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42" w:lineRule="exact"/>
        <w:rPr>
          <w:sz w:val="20"/>
          <w:szCs w:val="20"/>
          <w:color w:val="auto"/>
        </w:rPr>
      </w:pPr>
    </w:p>
    <w:p>
      <w:pPr>
        <w:ind w:left="640" w:right="799"/>
        <w:spacing w:after="0" w:line="288" w:lineRule="auto"/>
        <w:rPr>
          <w:sz w:val="20"/>
          <w:szCs w:val="20"/>
          <w:color w:val="auto"/>
        </w:rPr>
      </w:pPr>
      <w:r>
        <w:rPr>
          <w:rFonts w:ascii="Arial" w:cs="Arial" w:eastAsia="Arial" w:hAnsi="Arial"/>
          <w:sz w:val="14"/>
          <w:szCs w:val="14"/>
          <w:b w:val="1"/>
          <w:bCs w:val="1"/>
          <w:i w:val="1"/>
          <w:iCs w:val="1"/>
          <w:color w:val="auto"/>
        </w:rPr>
        <w:t>Even if we receive marketing approval for our current or future product candidates in the United States, we may never receive regulatory approval to market our product candidates outside of the United States.</w:t>
      </w:r>
    </w:p>
    <w:p>
      <w:pPr>
        <w:spacing w:after="0" w:line="20" w:lineRule="exact"/>
        <w:rPr>
          <w:sz w:val="20"/>
          <w:szCs w:val="20"/>
          <w:color w:val="auto"/>
        </w:rPr>
      </w:pPr>
    </w:p>
    <w:p>
      <w:pPr>
        <w:ind w:left="640" w:right="719" w:firstLine="443"/>
        <w:spacing w:after="0" w:line="243" w:lineRule="auto"/>
        <w:rPr>
          <w:sz w:val="20"/>
          <w:szCs w:val="20"/>
          <w:color w:val="auto"/>
        </w:rPr>
      </w:pPr>
      <w:r>
        <w:rPr>
          <w:rFonts w:ascii="Arial" w:cs="Arial" w:eastAsia="Arial" w:hAnsi="Arial"/>
          <w:sz w:val="14"/>
          <w:szCs w:val="14"/>
          <w:color w:val="auto"/>
        </w:rPr>
        <w:t>We plan to seek regulatory approval of our current or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59" w:lineRule="exact"/>
        <w:rPr>
          <w:sz w:val="20"/>
          <w:szCs w:val="20"/>
          <w:color w:val="auto"/>
        </w:rPr>
      </w:pPr>
    </w:p>
    <w:p>
      <w:pPr>
        <w:ind w:left="640" w:right="1079"/>
        <w:spacing w:after="0" w:line="288" w:lineRule="auto"/>
        <w:rPr>
          <w:sz w:val="20"/>
          <w:szCs w:val="20"/>
          <w:color w:val="auto"/>
        </w:rPr>
      </w:pPr>
      <w:r>
        <w:rPr>
          <w:rFonts w:ascii="Arial" w:cs="Arial" w:eastAsia="Arial" w:hAnsi="Arial"/>
          <w:sz w:val="14"/>
          <w:szCs w:val="14"/>
          <w:b w:val="1"/>
          <w:bCs w:val="1"/>
          <w:i w:val="1"/>
          <w:iCs w:val="1"/>
          <w:color w:val="auto"/>
        </w:rPr>
        <w:t>The U.S. Congress, the current presidential administration or any new administration may make substantial changes to fiscal, tax, healthcare, trade and other federal policies that may adversely affect our business.</w:t>
      </w:r>
    </w:p>
    <w:p>
      <w:pPr>
        <w:spacing w:after="0" w:line="20" w:lineRule="exact"/>
        <w:rPr>
          <w:sz w:val="20"/>
          <w:szCs w:val="20"/>
          <w:color w:val="auto"/>
        </w:rPr>
      </w:pPr>
    </w:p>
    <w:p>
      <w:pPr>
        <w:ind w:left="640" w:right="739" w:firstLine="516"/>
        <w:spacing w:after="0" w:line="243" w:lineRule="auto"/>
        <w:rPr>
          <w:sz w:val="20"/>
          <w:szCs w:val="20"/>
          <w:color w:val="auto"/>
        </w:rPr>
      </w:pPr>
      <w:r>
        <w:rPr>
          <w:rFonts w:ascii="Arial" w:cs="Arial" w:eastAsia="Arial" w:hAnsi="Arial"/>
          <w:sz w:val="14"/>
          <w:szCs w:val="14"/>
          <w:color w:val="auto"/>
        </w:rPr>
        <w:t>Changes to U.S. policy implemented by the U.S. Congress and new presidential administrations, including the current administration, have impacted and will in the future impact, among other things, the U.S. and global economy, international trade relations, unemployment, immigration, healthcare, taxation, the U.S. regulatory environment, inflation and other areas. For example, since the newest presidential administration has taken office, it has taken significant steps to, among other things, freeze some federal funding and reduce the size of the federal workforce. In addition, the current presidential administration has announced new tariffs on imported materials and goods from certain foreign countries, including Canada, Mexico and China. It is not possible to predict the outcome of this congressional, executive or regulatory activity, any of which could adversely affect us. Similarly, we cannot predict whether pending or future federal or state legislation or court proceedings will change various aspects of current government programs, nor can we predict the impact any changes of this nature will have on our business operations or financial results, but the effects could be materially adverse. In addition, changes in the leadership of the FDA and other federal agencies under the current presidential administration may result in changes in the funding, operations and policies of the FDA and other federal agencies, which may negatively impact, among other things, our clinical development plans, timelines and the cost of product development.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2" w:name="page53"/>
    <w:bookmarkEnd w:id="5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The increasing use of social media platforms presents new risks and challenges.</w:t>
      </w:r>
    </w:p>
    <w:p>
      <w:pPr>
        <w:spacing w:after="0" w:line="84"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disclosures of this nature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312" w:lineRule="exact"/>
        <w:rPr>
          <w:sz w:val="20"/>
          <w:szCs w:val="20"/>
          <w:color w:val="auto"/>
        </w:rPr>
      </w:pPr>
    </w:p>
    <w:p>
      <w:pPr>
        <w:ind w:left="640" w:right="799"/>
        <w:spacing w:after="0" w:line="288" w:lineRule="auto"/>
        <w:rPr>
          <w:sz w:val="20"/>
          <w:szCs w:val="20"/>
          <w:color w:val="auto"/>
        </w:rPr>
      </w:pPr>
      <w:r>
        <w:rPr>
          <w:rFonts w:ascii="Arial" w:cs="Arial" w:eastAsia="Arial" w:hAnsi="Arial"/>
          <w:sz w:val="14"/>
          <w:szCs w:val="14"/>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0"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53"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We expect our non-U.S.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 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p>
    <w:p>
      <w:pPr>
        <w:spacing w:after="0" w:line="55" w:lineRule="exact"/>
        <w:rPr>
          <w:sz w:val="20"/>
          <w:szCs w:val="20"/>
          <w:color w:val="auto"/>
        </w:rPr>
      </w:pPr>
    </w:p>
    <w:p>
      <w:pPr>
        <w:ind w:left="640" w:right="679" w:firstLine="443"/>
        <w:spacing w:after="0" w:line="261" w:lineRule="auto"/>
        <w:rPr>
          <w:sz w:val="20"/>
          <w:szCs w:val="20"/>
          <w:color w:val="auto"/>
        </w:rPr>
      </w:pPr>
      <w:r>
        <w:rPr>
          <w:rFonts w:ascii="Arial" w:cs="Arial" w:eastAsia="Arial" w:hAnsi="Arial"/>
          <w:sz w:val="14"/>
          <w:szCs w:val="14"/>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44" w:lineRule="exact"/>
        <w:rPr>
          <w:sz w:val="20"/>
          <w:szCs w:val="20"/>
          <w:color w:val="auto"/>
        </w:rPr>
      </w:pPr>
    </w:p>
    <w:p>
      <w:pPr>
        <w:ind w:left="640" w:right="739" w:firstLine="443"/>
        <w:spacing w:after="0" w:line="247" w:lineRule="auto"/>
        <w:rPr>
          <w:sz w:val="20"/>
          <w:szCs w:val="20"/>
          <w:color w:val="auto"/>
        </w:rPr>
      </w:pPr>
      <w:r>
        <w:rPr>
          <w:rFonts w:ascii="Arial" w:cs="Arial" w:eastAsia="Arial" w:hAnsi="Arial"/>
          <w:sz w:val="14"/>
          <w:szCs w:val="14"/>
          <w:color w:val="auto"/>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spacing w:after="0" w:line="54"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The failure to comply with Trade Laws may result in substantial civil and criminal fines and penalties, imprisonment, the loss of trade privileges, suspension or debarment from government contracting, reputational harm and other consequences. The Securities and Exchange Commission, or the SEC, also may suspend or bar issuers from trading securities on U.S. exchanges for violations of the FCPA’s accounting provisions.</w:t>
      </w:r>
    </w:p>
    <w:p>
      <w:pPr>
        <w:spacing w:after="0" w:line="137" w:lineRule="exact"/>
        <w:rPr>
          <w:sz w:val="20"/>
          <w:szCs w:val="20"/>
          <w:color w:val="auto"/>
        </w:rPr>
      </w:pPr>
    </w:p>
    <w:p>
      <w:pPr>
        <w:jc w:val="both"/>
        <w:ind w:left="640" w:right="679"/>
        <w:spacing w:after="0" w:line="264"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adversely affect our business, financial condition, results of operations and prospects.</w:t>
      </w:r>
    </w:p>
    <w:p>
      <w:pPr>
        <w:spacing w:after="0" w:line="36" w:lineRule="exact"/>
        <w:rPr>
          <w:sz w:val="20"/>
          <w:szCs w:val="20"/>
          <w:color w:val="auto"/>
        </w:rPr>
      </w:pPr>
    </w:p>
    <w:p>
      <w:pPr>
        <w:ind w:left="640" w:right="719" w:firstLine="443"/>
        <w:spacing w:after="0" w:line="254"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spacing w:after="0" w:line="243" w:lineRule="auto"/>
        <w:rPr>
          <w:sz w:val="20"/>
          <w:szCs w:val="20"/>
          <w:color w:val="auto"/>
        </w:rPr>
      </w:pPr>
      <w:r>
        <w:rPr>
          <w:rFonts w:ascii="Arial" w:cs="Arial" w:eastAsia="Arial" w:hAnsi="Arial"/>
          <w:sz w:val="14"/>
          <w:szCs w:val="14"/>
          <w:color w:val="auto"/>
        </w:rPr>
        <w:t>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9" w:lineRule="exact"/>
        <w:rPr>
          <w:sz w:val="20"/>
          <w:szCs w:val="20"/>
          <w:color w:val="auto"/>
        </w:rPr>
      </w:pPr>
    </w:p>
    <w:p>
      <w:pPr>
        <w:ind w:left="640" w:right="839"/>
        <w:spacing w:after="0" w:line="264" w:lineRule="auto"/>
        <w:rPr>
          <w:sz w:val="20"/>
          <w:szCs w:val="20"/>
          <w:color w:val="auto"/>
        </w:rPr>
      </w:pPr>
      <w:r>
        <w:rPr>
          <w:rFonts w:ascii="Arial" w:cs="Arial" w:eastAsia="Arial" w:hAnsi="Arial"/>
          <w:sz w:val="14"/>
          <w:szCs w:val="14"/>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36" w:lineRule="exact"/>
        <w:rPr>
          <w:sz w:val="20"/>
          <w:szCs w:val="20"/>
          <w:color w:val="auto"/>
        </w:rPr>
      </w:pPr>
    </w:p>
    <w:p>
      <w:pPr>
        <w:ind w:left="640" w:right="799" w:firstLine="443"/>
        <w:spacing w:after="0" w:line="250" w:lineRule="auto"/>
        <w:rPr>
          <w:sz w:val="20"/>
          <w:szCs w:val="20"/>
          <w:color w:val="auto"/>
        </w:rPr>
      </w:pPr>
      <w:r>
        <w:rPr>
          <w:rFonts w:ascii="Arial" w:cs="Arial" w:eastAsia="Arial" w:hAnsi="Arial"/>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53" w:lineRule="exact"/>
        <w:rPr>
          <w:sz w:val="20"/>
          <w:szCs w:val="20"/>
          <w:color w:val="auto"/>
        </w:rPr>
      </w:pPr>
    </w:p>
    <w:p>
      <w:pPr>
        <w:ind w:left="640" w:right="719" w:firstLine="443"/>
        <w:spacing w:after="0" w:line="246" w:lineRule="auto"/>
        <w:rPr>
          <w:sz w:val="20"/>
          <w:szCs w:val="20"/>
          <w:color w:val="auto"/>
        </w:rPr>
      </w:pPr>
      <w:r>
        <w:rPr>
          <w:rFonts w:ascii="Arial" w:cs="Arial" w:eastAsia="Arial" w:hAnsi="Arial"/>
          <w:sz w:val="14"/>
          <w:szCs w:val="14"/>
          <w:color w:val="auto"/>
        </w:rPr>
        <w:t>Further, the current presidential administration has undertaken efforts to reduce the size and spending of the federal government. As part of this initiative, the administration has taken action aimed at reducing the workforce of the federal government and eliminating other expenditures, such as facility leases used by the federal government and its component agencies. While these and other actions taken by the current presidential administration could be viewed as a part of a larger goal of de-regulation, a consequence of these developments and other actions taken by the current presidential administration generally could be reduced resources, employees and contractors at the FDA. In addition, these efforts have led to a number of experienced government officials being fired, resigning from or otherwise departing government service, including many with significant institutional knowledge.</w:t>
      </w:r>
    </w:p>
    <w:p>
      <w:pPr>
        <w:spacing w:after="0" w:line="54" w:lineRule="exact"/>
        <w:rPr>
          <w:sz w:val="20"/>
          <w:szCs w:val="20"/>
          <w:color w:val="auto"/>
        </w:rPr>
      </w:pPr>
    </w:p>
    <w:p>
      <w:pPr>
        <w:ind w:left="640" w:right="859" w:firstLine="443"/>
        <w:spacing w:after="0" w:line="246" w:lineRule="auto"/>
        <w:rPr>
          <w:sz w:val="20"/>
          <w:szCs w:val="20"/>
          <w:color w:val="auto"/>
        </w:rPr>
      </w:pPr>
      <w:r>
        <w:rPr>
          <w:rFonts w:ascii="Arial" w:cs="Arial" w:eastAsia="Arial" w:hAnsi="Arial"/>
          <w:sz w:val="14"/>
          <w:szCs w:val="14"/>
          <w:color w:val="auto"/>
        </w:rPr>
        <w:t>Disruptions at the FDA and other agencies may also slow the time necessary for new drugs to be reviewed or approved by necessary government agencies, which would adversely affect our business, financial condition, results of operations and prospects. For example, over the last several years, the U.S. government has shut down several times, including most recently for an extended period in 2025, and certain regulatory agencies, such as the FDA, have had to furlough critical employees and stop critical activities. If another prolonged government shutdown occurs or there are other changes which limit the FDA’s ability to perform its necessary activities in a timely manner, it could significantly impact the ability of the FDA to timely review and process our regulatory submissions, which could have a material adverse effect on our business.</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Risks Related to Data Privacy and Information Security</w:t>
      </w:r>
    </w:p>
    <w:p>
      <w:pPr>
        <w:spacing w:after="0" w:line="88" w:lineRule="exact"/>
        <w:rPr>
          <w:sz w:val="20"/>
          <w:szCs w:val="20"/>
          <w:color w:val="auto"/>
        </w:rPr>
      </w:pPr>
    </w:p>
    <w:p>
      <w:pPr>
        <w:ind w:left="640" w:right="699"/>
        <w:spacing w:after="0" w:line="252" w:lineRule="auto"/>
        <w:rPr>
          <w:sz w:val="20"/>
          <w:szCs w:val="20"/>
          <w:color w:val="auto"/>
        </w:rPr>
      </w:pPr>
      <w:r>
        <w:rPr>
          <w:rFonts w:ascii="Arial" w:cs="Arial" w:eastAsia="Arial" w:hAnsi="Arial"/>
          <w:sz w:val="14"/>
          <w:szCs w:val="14"/>
          <w:b w:val="1"/>
          <w:bCs w:val="1"/>
          <w:i w:val="1"/>
          <w:iCs w:val="1"/>
          <w:color w:val="auto"/>
        </w:rPr>
        <w:t>If our information technology systems, or those used by our CROs, CMOs, clinical sites or other vendors, contractors or consultants with whom we work, or our data, are or were compromised, we could experience adverse consequences resulting from such compromise, including but not limited to regulatory investigations or action, litigation, fines and penalties, disruptions of our business operations, reputational harm and other adverse consequences.</w:t>
      </w:r>
    </w:p>
    <w:p>
      <w:pPr>
        <w:spacing w:after="0" w:line="44"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In the ordinary course of our business, we, and the third parties with whom we work, collect, receive, store, process, generate, use, transfer, disclose, make accessible, protect, secure, dispose of, transmit and share,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As a result, we and the third parties with whom we work face a variety of evolving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w:t>
      </w:r>
    </w:p>
    <w:p>
      <w:pPr>
        <w:spacing w:after="0" w:line="221" w:lineRule="exact"/>
        <w:rPr>
          <w:sz w:val="20"/>
          <w:szCs w:val="20"/>
          <w:color w:val="auto"/>
        </w:rPr>
      </w:pPr>
    </w:p>
    <w:p>
      <w:pPr>
        <w:jc w:val="both"/>
        <w:ind w:left="640" w:right="839" w:firstLine="443"/>
        <w:spacing w:after="0" w:line="261" w:lineRule="auto"/>
        <w:rPr>
          <w:sz w:val="20"/>
          <w:szCs w:val="20"/>
          <w:color w:val="auto"/>
        </w:rPr>
      </w:pPr>
      <w:r>
        <w:rPr>
          <w:rFonts w:ascii="Arial" w:cs="Arial" w:eastAsia="Arial" w:hAnsi="Arial"/>
          <w:sz w:val="14"/>
          <w:szCs w:val="14"/>
          <w:color w:val="auto"/>
        </w:rPr>
        <w:t>Our information technology systems and those of our CROs, CMOs, clinical sites and other vendors, contractors and consultants with whom we work are vulnerable to cyberattacks, computer viruses, bugs, worms or other malicious codes, malware (including as a result of advanced persistent threat intrusions) and other attacks by computer hackers,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spacing w:after="0" w:line="246" w:lineRule="auto"/>
        <w:rPr>
          <w:sz w:val="20"/>
          <w:szCs w:val="20"/>
          <w:color w:val="auto"/>
        </w:rPr>
      </w:pPr>
      <w:r>
        <w:rPr>
          <w:rFonts w:ascii="Arial" w:cs="Arial" w:eastAsia="Arial" w:hAnsi="Arial"/>
          <w:sz w:val="14"/>
          <w:szCs w:val="14"/>
          <w:color w:val="auto"/>
        </w:rPr>
        <w:t>brute force attacks, application security attacks, social engineering (including through deep fakes, which may be increasingly more difficult to identify as fake, and phishing attacks), supply chain attacks and vulnerabilities through our third-party service providers, denial-of-service attacks, credential stuffing, credential harvesting, personnel misconduct or error, supply-chain attacks, software bugs, server malfunctions, software or hardware failures, loss of data or other information technology assets, adware, attacks facilitated or enhanced by AI, telecommunications failures, earthquakes, fires, floods and other similar threats. Remote work has increased these risks to our information technology systems and sensitive data, as our employees utilize network connections, computers and devices outside our premises or network, including working at home, while in transit, and in public locations.</w:t>
      </w:r>
    </w:p>
    <w:p>
      <w:pPr>
        <w:spacing w:after="0" w:line="54"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These types of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and severe and can lead to significant interruptions, delays or outages in our operations, loss of sensitive data,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spacing w:after="0" w:line="60"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During times of war and other major conflicts, we and the third parties with whom we work may be vulnerable to a heightened risk of attacks for geopolitical reasons, including retaliatory cyberattacks, that could materially disrupt our systems and operations, supply chain and ability to continue our research and development efforts or produce, sell and distribute our product candidates, if approved. For example, certain third parties with whom we work to support our business are located in potentially unstable regions and regions experiencing (or expected to experience) geopolitical or other conflicts, including Ukraine, which was attacked by Russia in February 2022 through various means, including cyberattacks. 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w:t>
      </w:r>
    </w:p>
    <w:p>
      <w:pPr>
        <w:spacing w:after="0" w:line="57"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issues that were not found during due diligence of such acquired entities, and it may be difficult to integrate companies into our information technology environment and security program.</w:t>
      </w:r>
    </w:p>
    <w:p>
      <w:pPr>
        <w:spacing w:after="0" w:line="53" w:lineRule="exact"/>
        <w:rPr>
          <w:sz w:val="20"/>
          <w:szCs w:val="20"/>
          <w:color w:val="auto"/>
        </w:rPr>
      </w:pPr>
    </w:p>
    <w:p>
      <w:pPr>
        <w:ind w:left="640" w:right="759" w:firstLine="443"/>
        <w:spacing w:after="0" w:line="247" w:lineRule="auto"/>
        <w:rPr>
          <w:sz w:val="20"/>
          <w:szCs w:val="20"/>
          <w:color w:val="auto"/>
        </w:rPr>
      </w:pPr>
      <w:r>
        <w:rPr>
          <w:rFonts w:ascii="Arial" w:cs="Arial" w:eastAsia="Arial" w:hAnsi="Arial"/>
          <w:sz w:val="14"/>
          <w:szCs w:val="14"/>
          <w:color w:val="auto"/>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54"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In addition, our reliance on third-party partners could introduce new cybersecurity risks and vulnerabilities. We rely on third-party partners and technologies to operate critical business systems and to process sensitive data in a variety of contexts, including cloud-based infrastructure,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or other interruption, we could experience adverse consequences. While we may be entitled to damages if our third-party service partners fail to satisfy their privacy or security-related obligations to us, any award may be insufficient to cover our damages, or we may be unable to recover any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We actively implement measures designed to identify, protect, detect, respond to and recover from vulnerabilities within our information systems, including those related to hardware, software and third-party providers. Despite our efforts, we have not and may not in the future detect and remediate all such vulnerabilities including on a timely basis. In some cases, we have and may in the future experience delays in developing and deploying necessary remediation measures and security patches. These undetected or unaddressed vulnerabilities could be exploited, potentially leading to security incidents, which could have a material adverse effect on our business, financial condition, results of operations and prospects. For example, we have been the target of unsuccessful phishing attempts in the past and expect such attempts will continue in the future. The introduction of AI has increased the sophistication of incoming attacks. We have introduced new tools to protect Odyssey from evolving threats that target human behavior. At times, however, threat actors evolve more rapidly than the tools meant to protect against them. As such, evolving threats pose a risk to the integrity of our data and cyber infrastructure.</w:t>
      </w:r>
    </w:p>
    <w:p>
      <w:pPr>
        <w:spacing w:after="0" w:line="57" w:lineRule="exact"/>
        <w:rPr>
          <w:sz w:val="20"/>
          <w:szCs w:val="20"/>
          <w:color w:val="auto"/>
        </w:rPr>
      </w:pPr>
    </w:p>
    <w:p>
      <w:pPr>
        <w:ind w:left="640" w:right="779" w:firstLine="443"/>
        <w:spacing w:after="0" w:line="248" w:lineRule="auto"/>
        <w:rPr>
          <w:sz w:val="20"/>
          <w:szCs w:val="20"/>
          <w:color w:val="auto"/>
        </w:rPr>
      </w:pPr>
      <w:r>
        <w:rPr>
          <w:rFonts w:ascii="Arial" w:cs="Arial" w:eastAsia="Arial" w:hAnsi="Arial"/>
          <w:sz w:val="14"/>
          <w:szCs w:val="14"/>
          <w:color w:val="auto"/>
        </w:rPr>
        <w:t>Any of the previously identified or similar threats have in the past and may in the future cause another security incident or other interruption that have in the past and may in the future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p>
    <w:p>
      <w:pPr>
        <w:spacing w:after="0" w:line="54" w:lineRule="exact"/>
        <w:rPr>
          <w:sz w:val="20"/>
          <w:szCs w:val="20"/>
          <w:color w:val="auto"/>
        </w:rPr>
      </w:pPr>
    </w:p>
    <w:p>
      <w:pPr>
        <w:ind w:left="640" w:right="779" w:firstLine="443"/>
        <w:spacing w:after="0" w:line="254" w:lineRule="auto"/>
        <w:rPr>
          <w:sz w:val="20"/>
          <w:szCs w:val="20"/>
          <w:color w:val="auto"/>
        </w:rPr>
      </w:pPr>
      <w:r>
        <w:rPr>
          <w:rFonts w:ascii="Arial" w:cs="Arial" w:eastAsia="Arial" w:hAnsi="Arial"/>
          <w:sz w:val="14"/>
          <w:szCs w:val="14"/>
          <w:color w:val="auto"/>
        </w:rPr>
        <w:t>We have expended significant resources and modified our business activities (including our clinical trial activities) to try to protect against security incidents and will continue to do so. Certain data privacy and security obligations have required us to implement and maintain specific security measures or industry-standard or reasonable security measures to protect our information technology systems and sensitive data.</w:t>
      </w:r>
    </w:p>
    <w:p>
      <w:pPr>
        <w:spacing w:after="0" w:line="49" w:lineRule="exact"/>
        <w:rPr>
          <w:sz w:val="20"/>
          <w:szCs w:val="20"/>
          <w:color w:val="auto"/>
        </w:rPr>
      </w:pPr>
    </w:p>
    <w:p>
      <w:pPr>
        <w:ind w:left="640" w:right="739" w:firstLine="443"/>
        <w:spacing w:after="0" w:line="250" w:lineRule="auto"/>
        <w:rPr>
          <w:sz w:val="20"/>
          <w:szCs w:val="20"/>
          <w:color w:val="auto"/>
        </w:rPr>
      </w:pPr>
      <w:r>
        <w:rPr>
          <w:rFonts w:ascii="Arial" w:cs="Arial" w:eastAsia="Arial" w:hAnsi="Arial"/>
          <w:sz w:val="14"/>
          <w:szCs w:val="14"/>
          <w:color w:val="auto"/>
        </w:rPr>
        <w:t>The costs related to significant security breaches or disruptions could be material and cause us to incur significant expenses. If the information technology systems of our CROs, CMOs, clinical sites and other vendors,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53"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If any incidents of this nature were to occur and cause interruptions in our operations,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the further development of any product candidates could be delayed. Applicable data privacy and security obligations may require us, or we may voluntarily choose, to notify relevant stakeholders, including affected individuals, future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60" w:lineRule="exact"/>
        <w:rPr>
          <w:sz w:val="20"/>
          <w:szCs w:val="20"/>
          <w:color w:val="auto"/>
        </w:rPr>
      </w:pPr>
    </w:p>
    <w:p>
      <w:pPr>
        <w:ind w:left="640" w:right="739" w:firstLine="443"/>
        <w:spacing w:after="0" w:line="246" w:lineRule="auto"/>
        <w:rPr>
          <w:sz w:val="20"/>
          <w:szCs w:val="20"/>
          <w:color w:val="auto"/>
        </w:rPr>
      </w:pPr>
      <w:r>
        <w:rPr>
          <w:rFonts w:ascii="Arial" w:cs="Arial" w:eastAsia="Arial" w:hAnsi="Arial"/>
          <w:sz w:val="14"/>
          <w:szCs w:val="14"/>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and material attendant consequences may negatively impact our ability to grow and operate our business and may result in a loss of confidence in us and our ability to conduct clinical trials, which could delay the clinical development of our product candidates.</w:t>
      </w:r>
    </w:p>
    <w:p>
      <w:pPr>
        <w:spacing w:after="0" w:line="54"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Our contracts may not always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and/or automated decision-making technologies.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779"/>
        <w:spacing w:after="0" w:line="250" w:lineRule="auto"/>
        <w:rPr>
          <w:sz w:val="20"/>
          <w:szCs w:val="20"/>
          <w:color w:val="auto"/>
        </w:rPr>
      </w:pPr>
      <w:r>
        <w:rPr>
          <w:rFonts w:ascii="Arial" w:cs="Arial" w:eastAsia="Arial" w:hAnsi="Arial"/>
          <w:sz w:val="14"/>
          <w:szCs w:val="14"/>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Any actual or perceived failure to comply with these obligations could lead to government enforcement actions (which could include civil or criminal penalties), private litigation (including class claims), negative publicity or other adverse consequences that could negatively affect our operating results and business.</w:t>
      </w:r>
    </w:p>
    <w:p>
      <w:pPr>
        <w:spacing w:after="0" w:line="212" w:lineRule="exact"/>
        <w:rPr>
          <w:sz w:val="20"/>
          <w:szCs w:val="20"/>
          <w:color w:val="auto"/>
        </w:rPr>
      </w:pPr>
    </w:p>
    <w:p>
      <w:pPr>
        <w:ind w:left="640" w:right="739" w:firstLine="443"/>
        <w:spacing w:after="0" w:line="245" w:lineRule="auto"/>
        <w:rPr>
          <w:sz w:val="20"/>
          <w:szCs w:val="20"/>
          <w:color w:val="auto"/>
        </w:rPr>
      </w:pPr>
      <w:r>
        <w:rPr>
          <w:rFonts w:ascii="Arial" w:cs="Arial" w:eastAsia="Arial" w:hAnsi="Arial"/>
          <w:sz w:val="14"/>
          <w:szCs w:val="14"/>
          <w:color w:val="auto"/>
        </w:rPr>
        <w:t>In the ordinary course of business, we and our partners process sensitive data. As a result, we and our partners are subject to numerous data privacy and security obligations, such as various federal, state and foreign laws and regulations, guidance, industry standards, external and internal privacy and security policies, contractual requirements and other obligations relating to data privacy and security. In the United States, numerous federal, state and local governments have enacted laws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sensitive data, including health-related information. For example, HIPAA, as amended by HITECH, imposes specific requirements relating to the privacy, security and transmission of individually identifiable protected health information.</w:t>
      </w:r>
    </w:p>
    <w:p>
      <w:pPr>
        <w:spacing w:after="0" w:line="57" w:lineRule="exact"/>
        <w:rPr>
          <w:sz w:val="20"/>
          <w:szCs w:val="20"/>
          <w:color w:val="auto"/>
        </w:rPr>
      </w:pPr>
    </w:p>
    <w:p>
      <w:pPr>
        <w:ind w:left="640" w:right="719" w:firstLine="443"/>
        <w:spacing w:after="0" w:line="248" w:lineRule="auto"/>
        <w:rPr>
          <w:sz w:val="20"/>
          <w:szCs w:val="20"/>
          <w:color w:val="auto"/>
        </w:rPr>
      </w:pPr>
      <w:r>
        <w:rPr>
          <w:rFonts w:ascii="Arial" w:cs="Arial" w:eastAsia="Arial" w:hAnsi="Arial"/>
          <w:sz w:val="14"/>
          <w:szCs w:val="14"/>
          <w:color w:val="auto"/>
        </w:rPr>
        <w:t>Even when HIPAA does not apply, according to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54"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information, such as conducting data privacy impact assessments. Failure to comply with these laws, where applicable, can result in significant statutory fines. For example, the California Consumer Privacy Act of 2018,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privacy laws are being considered at the federal level,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The existence of comprehensive privacy laws in different states in the country make our compliance obligations more complex and costly and may increase the likelihood that we may be subject to enforcement actions or otherwise incur liability for noncompliance.</w:t>
      </w:r>
    </w:p>
    <w:p>
      <w:pPr>
        <w:spacing w:after="0" w:line="223" w:lineRule="exact"/>
        <w:rPr>
          <w:sz w:val="20"/>
          <w:szCs w:val="20"/>
          <w:color w:val="auto"/>
        </w:rPr>
      </w:pPr>
    </w:p>
    <w:p>
      <w:pPr>
        <w:ind w:left="640" w:right="959" w:firstLine="443"/>
        <w:spacing w:after="0" w:line="254" w:lineRule="auto"/>
        <w:rPr>
          <w:sz w:val="20"/>
          <w:szCs w:val="20"/>
          <w:color w:val="auto"/>
        </w:rPr>
      </w:pPr>
      <w:r>
        <w:rPr>
          <w:rFonts w:ascii="Arial" w:cs="Arial" w:eastAsia="Arial" w:hAnsi="Arial"/>
          <w:sz w:val="14"/>
          <w:szCs w:val="14"/>
          <w:color w:val="auto"/>
        </w:rPr>
        <w:t>Outside the United States, an increasing number of laws and regulations, including Australia’s Privacy Act, the European Union’s General Data Protection Regulation, or the EU GDPR, and the United Kingdom’s General Data Protection Regulation, or UK GDPR, and, together with the EU GDPR, the GDPR, also apply to our processing of sensitive data, including health-related and other personal data.</w:t>
      </w:r>
    </w:p>
    <w:p>
      <w:pPr>
        <w:spacing w:after="0" w:line="49"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The GDPR imposes stringent requirements for processing personal data. The GDPR, together with national legislation, regulations and guidelines of the European Economic Area, or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temporary or definitive bans on data processing, private litigation related to processing of personal data brought by classes of data subjects or consumer protection organizations authorized at law to represent their interests, and potential fines for noncompliance of up to €20 million (£17.5 million) or 4% of the annual global revenues of the noncompliant company, whichever is greater.</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In addition, we may be unable to transfer personal data from the EEA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w:t>
      </w:r>
    </w:p>
    <w:p>
      <w:pPr>
        <w:spacing w:after="0" w:line="61"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p>
    <w:p>
      <w:pPr>
        <w:spacing w:after="0" w:line="54"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spacing w:after="0" w:line="60"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Our employees and personnel use AI modeling and/or automated decision-making tools to assist in our discovery efforts and product development. The disclosure and use of personal data in AI technologies is subject to various privacy laws and other privacy obligations. Governments have passed and are likely to pass additional laws regulating generative AI and/or automated decision-making technologies. Our use of this technology could result in additional compliance costs, regulatory investigations and actions and lawsuits. If we are unable to use AI and/or automated decision-making technologies, our drug discovery efforts may be less efficient and our ability to further expand our pipeline may be impaired.</w:t>
      </w:r>
    </w:p>
    <w:p>
      <w:pPr>
        <w:spacing w:after="0" w:line="219" w:lineRule="exact"/>
        <w:rPr>
          <w:sz w:val="20"/>
          <w:szCs w:val="20"/>
          <w:color w:val="auto"/>
        </w:rPr>
      </w:pPr>
    </w:p>
    <w:p>
      <w:pPr>
        <w:ind w:left="640" w:right="819" w:firstLine="443"/>
        <w:spacing w:after="0" w:line="282" w:lineRule="auto"/>
        <w:rPr>
          <w:sz w:val="20"/>
          <w:szCs w:val="20"/>
          <w:color w:val="auto"/>
        </w:rPr>
      </w:pPr>
      <w:r>
        <w:rPr>
          <w:rFonts w:ascii="Arial" w:cs="Arial" w:eastAsia="Arial" w:hAnsi="Arial"/>
          <w:sz w:val="14"/>
          <w:szCs w:val="14"/>
          <w:color w:val="auto"/>
        </w:rPr>
        <w:t>We are bound by other contractual obligations related to data privacy and security, and our efforts to comply with those obligations may not be successful.</w:t>
      </w:r>
    </w:p>
    <w:p>
      <w:pPr>
        <w:spacing w:after="0" w:line="30" w:lineRule="exact"/>
        <w:rPr>
          <w:sz w:val="20"/>
          <w:szCs w:val="20"/>
          <w:color w:val="auto"/>
        </w:rPr>
      </w:pPr>
    </w:p>
    <w:p>
      <w:pPr>
        <w:ind w:left="640" w:right="739" w:firstLine="443"/>
        <w:spacing w:after="0" w:line="250" w:lineRule="auto"/>
        <w:rPr>
          <w:sz w:val="20"/>
          <w:szCs w:val="20"/>
          <w:color w:val="auto"/>
        </w:rPr>
      </w:pPr>
      <w:r>
        <w:rPr>
          <w:rFonts w:ascii="Arial" w:cs="Arial" w:eastAsia="Arial" w:hAnsi="Arial"/>
          <w:sz w:val="14"/>
          <w:szCs w:val="14"/>
          <w:color w:val="auto"/>
        </w:rPr>
        <w:t>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misleading, unfair or misrepresentative of our practices, we may be subject to investigation, enforcement actions by regulators or other adverse consequences.</w:t>
      </w:r>
    </w:p>
    <w:p>
      <w:pPr>
        <w:spacing w:after="0" w:line="53" w:lineRule="exact"/>
        <w:rPr>
          <w:sz w:val="20"/>
          <w:szCs w:val="20"/>
          <w:color w:val="auto"/>
        </w:rPr>
      </w:pPr>
    </w:p>
    <w:p>
      <w:pPr>
        <w:ind w:left="640" w:right="779" w:firstLine="443"/>
        <w:spacing w:after="0" w:line="249" w:lineRule="auto"/>
        <w:rPr>
          <w:sz w:val="20"/>
          <w:szCs w:val="20"/>
          <w:color w:val="auto"/>
        </w:rPr>
      </w:pPr>
      <w:r>
        <w:rPr>
          <w:rFonts w:ascii="Arial" w:cs="Arial" w:eastAsia="Arial" w:hAnsi="Arial"/>
          <w:sz w:val="14"/>
          <w:szCs w:val="14"/>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firstLine="443"/>
        <w:spacing w:after="0" w:line="243" w:lineRule="auto"/>
        <w:rPr>
          <w:sz w:val="20"/>
          <w:szCs w:val="20"/>
          <w:color w:val="auto"/>
        </w:rPr>
      </w:pPr>
      <w:r>
        <w:rPr>
          <w:rFonts w:ascii="Arial" w:cs="Arial" w:eastAsia="Arial" w:hAnsi="Arial"/>
          <w:sz w:val="14"/>
          <w:szCs w:val="14"/>
          <w:color w:val="auto"/>
        </w:rPr>
        <w:t>Compliance with U.S. and foreign data privacy and security laws, rules and regulations could require us to take on more onerous obligations in our contracts, require us to engage in costly compliance exercises, restrict our ability to collect, use and disclose sensitive data, or, in some cases, impact our or our partners’ or suppliers’ ability to operate in certain jurisdictions. Each of these constantly evolving laws can be subject to varying interpretations.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Risks Related to Our Reliance on Third Parties</w:t>
      </w:r>
    </w:p>
    <w:p>
      <w:pPr>
        <w:spacing w:after="0" w:line="88" w:lineRule="exact"/>
        <w:rPr>
          <w:sz w:val="20"/>
          <w:szCs w:val="20"/>
          <w:color w:val="auto"/>
        </w:rPr>
      </w:pPr>
    </w:p>
    <w:p>
      <w:pPr>
        <w:ind w:left="640" w:right="659"/>
        <w:spacing w:after="0" w:line="252" w:lineRule="auto"/>
        <w:rPr>
          <w:sz w:val="20"/>
          <w:szCs w:val="20"/>
          <w:color w:val="auto"/>
        </w:rPr>
      </w:pPr>
      <w:r>
        <w:rPr>
          <w:rFonts w:ascii="Arial" w:cs="Arial" w:eastAsia="Arial" w:hAnsi="Arial"/>
          <w:sz w:val="14"/>
          <w:szCs w:val="14"/>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44" w:lineRule="exact"/>
        <w:rPr>
          <w:sz w:val="20"/>
          <w:szCs w:val="20"/>
          <w:color w:val="auto"/>
        </w:rPr>
      </w:pPr>
    </w:p>
    <w:p>
      <w:pPr>
        <w:ind w:left="640" w:right="739" w:firstLine="443"/>
        <w:spacing w:after="0" w:line="244" w:lineRule="auto"/>
        <w:rPr>
          <w:sz w:val="20"/>
          <w:szCs w:val="20"/>
          <w:color w:val="auto"/>
        </w:rPr>
      </w:pPr>
      <w:r>
        <w:rPr>
          <w:rFonts w:ascii="Arial" w:cs="Arial" w:eastAsia="Arial" w:hAnsi="Arial"/>
          <w:sz w:val="14"/>
          <w:szCs w:val="14"/>
          <w:color w:val="auto"/>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if we were to conduct them independently. These parties are not, and will not be, our employees and we will have limited control over the amount of time and resources that they dedicate to our programs. Additionally, these parties may have contractual relationships with other entities (some of whom may be our competitors), which may draw time and resources from our programs. For example, we rely on CROs located or operating in China and Ukraine, among others, to conduct certain of our preclinical research and discovery activities and/or our clinical trials. It is unknown how the status of current or future U.S.-China relations or the ongoing conflict in Ukraine will affect our ability to rely on these CROs to conduct our current and future preclinical studies or clinical trials.</w:t>
      </w:r>
    </w:p>
    <w:p>
      <w:pPr>
        <w:spacing w:after="0" w:line="57" w:lineRule="exact"/>
        <w:rPr>
          <w:sz w:val="20"/>
          <w:szCs w:val="20"/>
          <w:color w:val="auto"/>
        </w:rPr>
      </w:pPr>
    </w:p>
    <w:p>
      <w:pPr>
        <w:jc w:val="both"/>
        <w:ind w:left="640" w:right="1019" w:firstLine="443"/>
        <w:spacing w:after="0" w:line="254" w:lineRule="auto"/>
        <w:rPr>
          <w:sz w:val="20"/>
          <w:szCs w:val="20"/>
          <w:color w:val="auto"/>
        </w:rPr>
      </w:pPr>
      <w:r>
        <w:rPr>
          <w:rFonts w:ascii="Arial" w:cs="Arial" w:eastAsia="Arial" w:hAnsi="Arial"/>
          <w:sz w:val="14"/>
          <w:szCs w:val="14"/>
          <w:color w:val="auto"/>
        </w:rPr>
        <w:t>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spacing w:after="0" w:line="49"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54"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GCPs. Moreover, our business may be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spacing w:after="0" w:line="282" w:lineRule="auto"/>
        <w:rPr>
          <w:sz w:val="20"/>
          <w:szCs w:val="20"/>
          <w:color w:val="auto"/>
        </w:rPr>
      </w:pPr>
      <w:r>
        <w:rPr>
          <w:rFonts w:ascii="Arial" w:cs="Arial" w:eastAsia="Arial" w:hAnsi="Arial"/>
          <w:sz w:val="14"/>
          <w:szCs w:val="14"/>
          <w:color w:val="auto"/>
        </w:rPr>
        <w:t>significantly impacted if our CROs, clinical investigators or other third parties violate federal or state healthcare fraud and abuse or false claims laws and regulations or healthcare privacy and security laws.</w:t>
      </w:r>
    </w:p>
    <w:p>
      <w:pPr>
        <w:spacing w:after="0" w:line="30"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If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57"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If any of our relationships with these third parties terminate, we may not be able to enter into alternative arrangements or do so on commercially reasonable terms. Switching or adding additional contractors or vendors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54"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42" w:lineRule="exact"/>
        <w:rPr>
          <w:sz w:val="20"/>
          <w:szCs w:val="20"/>
          <w:color w:val="auto"/>
        </w:rPr>
      </w:pPr>
    </w:p>
    <w:p>
      <w:pPr>
        <w:ind w:left="640" w:right="739"/>
        <w:spacing w:after="0" w:line="256" w:lineRule="auto"/>
        <w:rPr>
          <w:sz w:val="20"/>
          <w:szCs w:val="20"/>
          <w:color w:val="auto"/>
        </w:rPr>
      </w:pPr>
      <w:r>
        <w:rPr>
          <w:rFonts w:ascii="Arial" w:cs="Arial" w:eastAsia="Arial" w:hAnsi="Arial"/>
          <w:sz w:val="14"/>
          <w:szCs w:val="14"/>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spacing w:after="0" w:line="41" w:lineRule="exact"/>
        <w:rPr>
          <w:sz w:val="20"/>
          <w:szCs w:val="20"/>
          <w:color w:val="auto"/>
        </w:rPr>
      </w:pPr>
    </w:p>
    <w:p>
      <w:pPr>
        <w:ind w:left="640" w:right="1119" w:firstLine="443"/>
        <w:spacing w:after="0" w:line="261" w:lineRule="auto"/>
        <w:rPr>
          <w:sz w:val="20"/>
          <w:szCs w:val="20"/>
          <w:color w:val="auto"/>
        </w:rPr>
      </w:pPr>
      <w:r>
        <w:rPr>
          <w:rFonts w:ascii="Arial" w:cs="Arial" w:eastAsia="Arial" w:hAnsi="Arial"/>
          <w:sz w:val="14"/>
          <w:szCs w:val="14"/>
          <w:color w:val="auto"/>
        </w:rPr>
        <w:t>We currently rely, and expect to continue to rely, on third-party contract developers and manufacturers to manufacture bulk drug substances, drug products, raw materials, samples, components and other materials for our product candidates.</w:t>
      </w:r>
    </w:p>
    <w:p>
      <w:pPr>
        <w:spacing w:after="0" w:line="44" w:lineRule="exact"/>
        <w:rPr>
          <w:sz w:val="20"/>
          <w:szCs w:val="20"/>
          <w:color w:val="auto"/>
        </w:rPr>
      </w:pPr>
    </w:p>
    <w:p>
      <w:pPr>
        <w:ind w:left="640" w:right="699" w:firstLine="443"/>
        <w:spacing w:after="0" w:line="250" w:lineRule="auto"/>
        <w:rPr>
          <w:sz w:val="20"/>
          <w:szCs w:val="20"/>
          <w:color w:val="auto"/>
        </w:rPr>
      </w:pPr>
      <w:r>
        <w:rPr>
          <w:rFonts w:ascii="Arial" w:cs="Arial" w:eastAsia="Arial" w:hAnsi="Arial"/>
          <w:sz w:val="14"/>
          <w:szCs w:val="14"/>
          <w:color w:val="auto"/>
        </w:rPr>
        <w:t>Reliance on third-party CMOs may expose us to different risks than if we were to manufacture product candidates ourselves. There can be no assurance that our preclinical and clinical development supplies will not be limited, interrupted, terminated or will be of satisfactory quality or be available at acceptable prices, including as we expand the size and number of clinical trials. In addition, replacing a CMO could require significant effort and time because there may be a limited number of qualified replacements.</w:t>
      </w:r>
    </w:p>
    <w:p>
      <w:pPr>
        <w:spacing w:after="0" w:line="53" w:lineRule="exact"/>
        <w:rPr>
          <w:sz w:val="20"/>
          <w:szCs w:val="20"/>
          <w:color w:val="auto"/>
        </w:rPr>
      </w:pPr>
    </w:p>
    <w:p>
      <w:pPr>
        <w:ind w:left="640" w:right="699" w:firstLine="443"/>
        <w:spacing w:after="0" w:line="243" w:lineRule="auto"/>
        <w:rPr>
          <w:sz w:val="20"/>
          <w:szCs w:val="20"/>
          <w:color w:val="auto"/>
        </w:rPr>
      </w:pPr>
      <w:r>
        <w:rPr>
          <w:rFonts w:ascii="Arial" w:cs="Arial" w:eastAsia="Arial" w:hAnsi="Arial"/>
          <w:sz w:val="14"/>
          <w:szCs w:val="14"/>
          <w:color w:val="auto"/>
        </w:rPr>
        <w:t>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current good manufacturing practices, or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If any of our manufacturers fail to comply with those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manner or on reasonable terms, or at all. In some cases, the technical skills or technology required to manufacture our product candidates may be unique or proprietary to the original manufacturer and we may have difficulty transferring such to another third party.</w:t>
      </w:r>
    </w:p>
    <w:p>
      <w:pPr>
        <w:spacing w:after="0" w:line="57" w:lineRule="exact"/>
        <w:rPr>
          <w:sz w:val="20"/>
          <w:szCs w:val="20"/>
          <w:color w:val="auto"/>
        </w:rPr>
      </w:pPr>
    </w:p>
    <w:p>
      <w:pPr>
        <w:ind w:left="640" w:right="759" w:firstLine="443"/>
        <w:spacing w:after="0" w:line="282" w:lineRule="auto"/>
        <w:rPr>
          <w:sz w:val="20"/>
          <w:szCs w:val="20"/>
          <w:color w:val="auto"/>
        </w:rPr>
      </w:pPr>
      <w:r>
        <w:rPr>
          <w:rFonts w:ascii="Arial" w:cs="Arial" w:eastAsia="Arial" w:hAnsi="Arial"/>
          <w:sz w:val="14"/>
          <w:szCs w:val="14"/>
          <w:color w:val="auto"/>
        </w:rPr>
        <w:t>These factors would increase our reliance on a CMO or require us to obtain a license from that CMO to enable us to manufacture, or to have another third party manufacture, our product candidates. If we are required to change CMOs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54" w:lineRule="auto"/>
        <w:rPr>
          <w:sz w:val="20"/>
          <w:szCs w:val="20"/>
          <w:color w:val="auto"/>
        </w:rPr>
      </w:pPr>
      <w:r>
        <w:rPr>
          <w:rFonts w:ascii="Arial" w:cs="Arial" w:eastAsia="Arial" w:hAnsi="Arial"/>
          <w:sz w:val="14"/>
          <w:szCs w:val="14"/>
          <w:color w:val="auto"/>
        </w:rPr>
        <w:t>for any reason, we will be required to verify that the new CMO maintains facilities and procedures that comply with applicable quality standards and regulations and guidelines and we may be required to repeat some of the development program. The delays and costs associated with the verification of a new CMO could negatively affect our ability to develop product candidates in a timely manner or within budget.</w:t>
      </w:r>
    </w:p>
    <w:p>
      <w:pPr>
        <w:spacing w:after="0" w:line="49"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We expect to continue to rely on third-party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p>
    <w:p>
      <w:pPr>
        <w:spacing w:after="0" w:line="57" w:lineRule="exact"/>
        <w:rPr>
          <w:sz w:val="20"/>
          <w:szCs w:val="20"/>
          <w:color w:val="auto"/>
        </w:rPr>
      </w:pPr>
    </w:p>
    <w:p>
      <w:pPr>
        <w:ind w:left="1260" w:hanging="179"/>
        <w:spacing w:after="0"/>
        <w:tabs>
          <w:tab w:leader="none" w:pos="1260"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4"/>
          <w:szCs w:val="14"/>
          <w:color w:val="auto"/>
        </w:rPr>
        <w:t>an inability to initiate or continue preclinical studies or clinical trials of product candidates;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4"/>
          <w:szCs w:val="14"/>
          <w:color w:val="auto"/>
        </w:rPr>
        <w:t>a delay in submitting regulatory applications, or receiving regulatory approvals, for product candidates;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4"/>
          <w:szCs w:val="14"/>
          <w:color w:val="auto"/>
        </w:rPr>
        <w:t>a loss of the cooperation of existing or future collaborators;</w:t>
      </w:r>
    </w:p>
    <w:p>
      <w:pPr>
        <w:spacing w:after="0" w:line="96" w:lineRule="exact"/>
        <w:rPr>
          <w:rFonts w:ascii="Times New Roman" w:cs="Times New Roman" w:eastAsia="Times New Roman" w:hAnsi="Times New Roman"/>
          <w:sz w:val="14"/>
          <w:szCs w:val="14"/>
          <w:color w:val="auto"/>
        </w:rPr>
      </w:pPr>
    </w:p>
    <w:p>
      <w:pPr>
        <w:ind w:left="1260" w:right="1059" w:hanging="179"/>
        <w:spacing w:after="0" w:line="281" w:lineRule="auto"/>
        <w:tabs>
          <w:tab w:leader="none" w:pos="1260"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4"/>
          <w:szCs w:val="14"/>
          <w:color w:val="auto"/>
        </w:rPr>
        <w:t>in the event of approval to market and commercialize a product candidate, an inability to meet commercial demands for our products; and</w:t>
      </w:r>
    </w:p>
    <w:p>
      <w:pPr>
        <w:spacing w:after="0" w:line="30" w:lineRule="exact"/>
        <w:rPr>
          <w:rFonts w:ascii="Times New Roman" w:cs="Times New Roman" w:eastAsia="Times New Roman" w:hAnsi="Times New Roman"/>
          <w:sz w:val="14"/>
          <w:szCs w:val="14"/>
          <w:color w:val="auto"/>
        </w:rPr>
      </w:pPr>
    </w:p>
    <w:p>
      <w:pPr>
        <w:ind w:left="1260" w:right="699" w:hanging="179"/>
        <w:spacing w:after="0" w:line="247" w:lineRule="auto"/>
        <w:tabs>
          <w:tab w:leader="none" w:pos="1260"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4"/>
          <w:szCs w:val="14"/>
          <w:color w:val="auto"/>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FCA, corporate integrity agreements, consent decrees or withdrawal of product approval.</w:t>
      </w:r>
    </w:p>
    <w:p>
      <w:pPr>
        <w:spacing w:after="0" w:line="53" w:lineRule="exact"/>
        <w:rPr>
          <w:sz w:val="20"/>
          <w:szCs w:val="20"/>
          <w:color w:val="auto"/>
        </w:rPr>
      </w:pPr>
    </w:p>
    <w:p>
      <w:pPr>
        <w:ind w:left="640" w:right="899" w:firstLine="443"/>
        <w:spacing w:after="0" w:line="254" w:lineRule="auto"/>
        <w:rPr>
          <w:sz w:val="20"/>
          <w:szCs w:val="20"/>
          <w:color w:val="auto"/>
        </w:rPr>
      </w:pPr>
      <w:r>
        <w:rPr>
          <w:rFonts w:ascii="Arial" w:cs="Arial" w:eastAsia="Arial" w:hAnsi="Arial"/>
          <w:sz w:val="14"/>
          <w:szCs w:val="14"/>
          <w:color w:val="auto"/>
        </w:rPr>
        <w:t>Additionally, our CMOs may experience difficulties due to resource constraints or as a result of labor disputes, unstable political environments, natural disasters, epidemics or outbreaks, among other things. If our CMOs were to encounter any of these difficulties, our ability to provide our product candidates to participants in preclinical and clinical trials, or to provide product for treatment of participants if approved, would be jeopardized.</w:t>
      </w:r>
    </w:p>
    <w:p>
      <w:pPr>
        <w:spacing w:after="0" w:line="137" w:lineRule="exact"/>
        <w:rPr>
          <w:sz w:val="20"/>
          <w:szCs w:val="20"/>
          <w:color w:val="auto"/>
        </w:rPr>
      </w:pPr>
    </w:p>
    <w:p>
      <w:pPr>
        <w:jc w:val="both"/>
        <w:ind w:left="640" w:right="679"/>
        <w:spacing w:after="0" w:line="264" w:lineRule="auto"/>
        <w:rPr>
          <w:sz w:val="20"/>
          <w:szCs w:val="20"/>
          <w:color w:val="auto"/>
        </w:rPr>
      </w:pPr>
      <w:r>
        <w:rPr>
          <w:rFonts w:ascii="Arial" w:cs="Arial" w:eastAsia="Arial" w:hAnsi="Arial"/>
          <w:sz w:val="14"/>
          <w:szCs w:val="14"/>
          <w:b w:val="1"/>
          <w:bCs w:val="1"/>
          <w:i w:val="1"/>
          <w:iCs w:val="1"/>
          <w:color w:val="auto"/>
        </w:rPr>
        <w:t>The operations of our suppliers, some of which are located outside of the United States, are subject to additional risks that are beyond our control and that could harm our business, financial condition, results of operations and prospects.</w:t>
      </w:r>
    </w:p>
    <w:p>
      <w:pPr>
        <w:spacing w:after="0" w:line="36" w:lineRule="exact"/>
        <w:rPr>
          <w:sz w:val="20"/>
          <w:szCs w:val="20"/>
          <w:color w:val="auto"/>
        </w:rPr>
      </w:pPr>
    </w:p>
    <w:p>
      <w:pPr>
        <w:ind w:left="640" w:right="939" w:firstLine="443"/>
        <w:spacing w:after="0" w:line="282" w:lineRule="auto"/>
        <w:rPr>
          <w:sz w:val="20"/>
          <w:szCs w:val="20"/>
          <w:color w:val="auto"/>
        </w:rPr>
      </w:pPr>
      <w:r>
        <w:rPr>
          <w:rFonts w:ascii="Arial" w:cs="Arial" w:eastAsia="Arial" w:hAnsi="Arial"/>
          <w:sz w:val="14"/>
          <w:szCs w:val="14"/>
          <w:color w:val="auto"/>
        </w:rPr>
        <w:t>Certain of our suppliers are located outside of the United States. As a result, we are subject to risks associated with doing business abroad, including:</w:t>
      </w:r>
    </w:p>
    <w:p>
      <w:pPr>
        <w:spacing w:after="0" w:line="30" w:lineRule="exact"/>
        <w:rPr>
          <w:sz w:val="20"/>
          <w:szCs w:val="20"/>
          <w:color w:val="auto"/>
        </w:rPr>
      </w:pPr>
    </w:p>
    <w:p>
      <w:pPr>
        <w:ind w:left="1260" w:right="719" w:hanging="179"/>
        <w:spacing w:after="0" w:line="281" w:lineRule="auto"/>
        <w:tabs>
          <w:tab w:leader="none" w:pos="126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political unrest, terrorism, labor disputes and economic instability resulting in the disruption of trade from foreign countries in which our products are manufactured;</w:t>
      </w:r>
    </w:p>
    <w:p>
      <w:pPr>
        <w:spacing w:after="0" w:line="30" w:lineRule="exact"/>
        <w:rPr>
          <w:rFonts w:ascii="Times New Roman" w:cs="Times New Roman" w:eastAsia="Times New Roman" w:hAnsi="Times New Roman"/>
          <w:sz w:val="14"/>
          <w:szCs w:val="14"/>
          <w:color w:val="auto"/>
        </w:rPr>
      </w:pPr>
    </w:p>
    <w:p>
      <w:pPr>
        <w:ind w:left="1260" w:right="779" w:hanging="179"/>
        <w:spacing w:after="0" w:line="254" w:lineRule="auto"/>
        <w:tabs>
          <w:tab w:leader="none" w:pos="126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48" w:lineRule="exact"/>
        <w:rPr>
          <w:rFonts w:ascii="Times New Roman" w:cs="Times New Roman" w:eastAsia="Times New Roman" w:hAnsi="Times New Roman"/>
          <w:sz w:val="14"/>
          <w:szCs w:val="14"/>
          <w:color w:val="auto"/>
        </w:rPr>
      </w:pPr>
    </w:p>
    <w:p>
      <w:pPr>
        <w:ind w:left="1260" w:right="799" w:hanging="179"/>
        <w:spacing w:after="0" w:line="281" w:lineRule="auto"/>
        <w:tabs>
          <w:tab w:leader="none" w:pos="126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greater challenges and increased costs with enforcing and periodically auditing or reviewing our suppliers’ and manufacturers’ compliance with cGMPs or status acceptable to the FDA or foreign regulatory authorities;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reduced protection for intellectual property rights, including trademark protection, in some countries;</w:t>
      </w:r>
    </w:p>
    <w:p>
      <w:pPr>
        <w:spacing w:after="0" w:line="96" w:lineRule="exact"/>
        <w:rPr>
          <w:rFonts w:ascii="Times New Roman" w:cs="Times New Roman" w:eastAsia="Times New Roman" w:hAnsi="Times New Roman"/>
          <w:sz w:val="14"/>
          <w:szCs w:val="14"/>
          <w:color w:val="auto"/>
        </w:rPr>
      </w:pPr>
    </w:p>
    <w:p>
      <w:pPr>
        <w:ind w:left="1260" w:right="919" w:hanging="179"/>
        <w:spacing w:after="0" w:line="281" w:lineRule="auto"/>
        <w:tabs>
          <w:tab w:leader="none" w:pos="126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disruptions in operations due to global, regional, or local public health crises or other emergencies or natural disasters;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disruptions or delays in shipments; and</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changes in local economic conditions in countries where our manufacturers or suppliers are located.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firstLine="443"/>
        <w:spacing w:after="0" w:line="254" w:lineRule="auto"/>
        <w:rPr>
          <w:sz w:val="20"/>
          <w:szCs w:val="20"/>
          <w:color w:val="auto"/>
        </w:rPr>
      </w:pPr>
      <w:r>
        <w:rPr>
          <w:rFonts w:ascii="Arial" w:cs="Arial" w:eastAsia="Arial" w:hAnsi="Arial"/>
          <w:sz w:val="14"/>
          <w:szCs w:val="14"/>
          <w:color w:val="auto"/>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p>
    <w:p>
      <w:pPr>
        <w:spacing w:after="0" w:line="137" w:lineRule="exact"/>
        <w:rPr>
          <w:sz w:val="20"/>
          <w:szCs w:val="20"/>
          <w:color w:val="auto"/>
        </w:rPr>
      </w:pPr>
    </w:p>
    <w:p>
      <w:pPr>
        <w:ind w:left="640" w:right="679"/>
        <w:spacing w:after="0" w:line="256" w:lineRule="auto"/>
        <w:rPr>
          <w:sz w:val="20"/>
          <w:szCs w:val="20"/>
          <w:color w:val="auto"/>
        </w:rPr>
      </w:pPr>
      <w:r>
        <w:rPr>
          <w:rFonts w:ascii="Arial" w:cs="Arial" w:eastAsia="Arial" w:hAnsi="Arial"/>
          <w:sz w:val="14"/>
          <w:szCs w:val="14"/>
          <w:b w:val="1"/>
          <w:bCs w:val="1"/>
          <w:i w:val="1"/>
          <w:iCs w:val="1"/>
          <w:color w:val="auto"/>
        </w:rPr>
        <w:t>We have entered, and may in the future enter into additional, collaborations or licensing arrangements, which are important to our business. If we are unable to enter into new collaborations or licenses, or if we fail to realize the benefits of any current or future collaborations or licensing arrangements, our business, financial condition, results of operations and prospects could be adversely affected.</w:t>
      </w:r>
    </w:p>
    <w:p>
      <w:pPr>
        <w:spacing w:after="0" w:line="41" w:lineRule="exact"/>
        <w:rPr>
          <w:sz w:val="20"/>
          <w:szCs w:val="20"/>
          <w:color w:val="auto"/>
        </w:rPr>
      </w:pPr>
    </w:p>
    <w:p>
      <w:pPr>
        <w:ind w:left="640" w:right="739" w:firstLine="443"/>
        <w:spacing w:after="0" w:line="244" w:lineRule="auto"/>
        <w:rPr>
          <w:sz w:val="20"/>
          <w:szCs w:val="20"/>
          <w:color w:val="auto"/>
        </w:rPr>
      </w:pPr>
      <w:r>
        <w:rPr>
          <w:rFonts w:ascii="Arial" w:cs="Arial" w:eastAsia="Arial" w:hAnsi="Arial"/>
          <w:sz w:val="14"/>
          <w:szCs w:val="14"/>
          <w:color w:val="auto"/>
        </w:rPr>
        <w:t>A key part of our strategy is to strategically evaluate and, as we deem appropriate, enter into collaborations or partnerships, including with major biotechnology or pharmaceutical companies to advance our current or future product candidates. We have previously entered into collaborations with Pfizer Inc., or Pfizer, Janssen Pharmaceutica NV, a Johnson &amp; Johnson company, or J&amp;J and Terray Therapeutics, Inc. to conduct various research and development activities. Our agreement with Pfizer expired by its terms in 2025 and, as of the date of this prospectus, we do not anticipate generating any additional revenue from our agreements with either Pfizer or J&amp;J. We have limited capabilities for product development and do not yet have any capability for commercialization. Accordingly, we may continue to enter into collaborations with other companies in the future to provide us with funding for our programs and technology. Any of our existing or future collaborations that we enter into may not be successful. The success of our collaboration arrangements will depend heavily on the efforts and activities of our collaborators. Our current product candidates are designed to address targets that we believe are of high interest to pharmaceutical partners.</w:t>
      </w:r>
    </w:p>
    <w:p>
      <w:pPr>
        <w:spacing w:after="0" w:line="57" w:lineRule="exact"/>
        <w:rPr>
          <w:sz w:val="20"/>
          <w:szCs w:val="20"/>
          <w:color w:val="auto"/>
        </w:rPr>
      </w:pPr>
    </w:p>
    <w:p>
      <w:pPr>
        <w:ind w:left="640" w:right="1179" w:firstLine="443"/>
        <w:spacing w:after="0" w:line="282" w:lineRule="auto"/>
        <w:rPr>
          <w:sz w:val="20"/>
          <w:szCs w:val="20"/>
          <w:color w:val="auto"/>
        </w:rPr>
      </w:pPr>
      <w:r>
        <w:rPr>
          <w:rFonts w:ascii="Arial" w:cs="Arial" w:eastAsia="Arial" w:hAnsi="Arial"/>
          <w:sz w:val="14"/>
          <w:szCs w:val="14"/>
          <w:color w:val="auto"/>
        </w:rPr>
        <w:t>Our current collaborations and any future collaborations we enter into pose a number of risks, including the following:</w:t>
      </w:r>
    </w:p>
    <w:p>
      <w:pPr>
        <w:spacing w:after="0" w:line="30" w:lineRule="exact"/>
        <w:rPr>
          <w:sz w:val="20"/>
          <w:szCs w:val="20"/>
          <w:color w:val="auto"/>
        </w:rPr>
      </w:pPr>
    </w:p>
    <w:p>
      <w:pPr>
        <w:ind w:left="1260" w:hanging="179"/>
        <w:spacing w:after="0"/>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have significant discretion in determining the efforts and resources that they will apply;</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not perform their obligations as expected;</w:t>
      </w:r>
    </w:p>
    <w:p>
      <w:pPr>
        <w:spacing w:after="0" w:line="96" w:lineRule="exact"/>
        <w:rPr>
          <w:rFonts w:ascii="Times New Roman" w:cs="Times New Roman" w:eastAsia="Times New Roman" w:hAnsi="Times New Roman"/>
          <w:sz w:val="14"/>
          <w:szCs w:val="14"/>
          <w:color w:val="auto"/>
        </w:rPr>
      </w:pPr>
    </w:p>
    <w:p>
      <w:pPr>
        <w:ind w:left="1260" w:right="1099" w:hanging="179"/>
        <w:spacing w:after="0" w:line="250"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52" w:lineRule="exact"/>
        <w:rPr>
          <w:rFonts w:ascii="Times New Roman" w:cs="Times New Roman" w:eastAsia="Times New Roman" w:hAnsi="Times New Roman"/>
          <w:sz w:val="14"/>
          <w:szCs w:val="14"/>
          <w:color w:val="auto"/>
        </w:rPr>
      </w:pPr>
    </w:p>
    <w:p>
      <w:pPr>
        <w:ind w:left="1260" w:right="659" w:hanging="179"/>
        <w:spacing w:after="0" w:line="260"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5" w:lineRule="exact"/>
        <w:rPr>
          <w:rFonts w:ascii="Times New Roman" w:cs="Times New Roman" w:eastAsia="Times New Roman" w:hAnsi="Times New Roman"/>
          <w:sz w:val="14"/>
          <w:szCs w:val="14"/>
          <w:color w:val="auto"/>
        </w:rPr>
      </w:pPr>
    </w:p>
    <w:p>
      <w:pPr>
        <w:ind w:left="1260" w:right="719" w:hanging="179"/>
        <w:spacing w:after="0" w:line="254"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48" w:lineRule="exact"/>
        <w:rPr>
          <w:rFonts w:ascii="Times New Roman" w:cs="Times New Roman" w:eastAsia="Times New Roman" w:hAnsi="Times New Roman"/>
          <w:sz w:val="14"/>
          <w:szCs w:val="14"/>
          <w:color w:val="auto"/>
        </w:rPr>
      </w:pPr>
    </w:p>
    <w:p>
      <w:pPr>
        <w:ind w:left="1260" w:right="799" w:hanging="179"/>
        <w:spacing w:after="0" w:line="260"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own or co-own intellectual property covering our product candidates that results from our collaborating with them, and in such cases, we would not have the exclusive right to develop or commercialize such intellectual property;</w:t>
      </w:r>
    </w:p>
    <w:p>
      <w:pPr>
        <w:spacing w:after="0" w:line="45" w:lineRule="exact"/>
        <w:rPr>
          <w:rFonts w:ascii="Times New Roman" w:cs="Times New Roman" w:eastAsia="Times New Roman" w:hAnsi="Times New Roman"/>
          <w:sz w:val="14"/>
          <w:szCs w:val="14"/>
          <w:color w:val="auto"/>
        </w:rPr>
      </w:pPr>
    </w:p>
    <w:p>
      <w:pPr>
        <w:ind w:left="1260" w:right="799" w:hanging="179"/>
        <w:spacing w:after="0" w:line="260"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45" w:lineRule="exact"/>
        <w:rPr>
          <w:rFonts w:ascii="Times New Roman" w:cs="Times New Roman" w:eastAsia="Times New Roman" w:hAnsi="Times New Roman"/>
          <w:sz w:val="14"/>
          <w:szCs w:val="14"/>
          <w:color w:val="auto"/>
        </w:rPr>
      </w:pPr>
    </w:p>
    <w:p>
      <w:pPr>
        <w:ind w:left="1260" w:right="1439" w:hanging="179"/>
        <w:spacing w:after="0" w:line="281"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fail to comply with applicable regulatory requirements regarding the development, manufacture, distribution or marketing of a product candidate or product;</w:t>
      </w:r>
    </w:p>
    <w:p>
      <w:pPr>
        <w:spacing w:after="0" w:line="30"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spacing w:after="0" w:line="45"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a collaborator’s sales and marketing activities or other operations may not be in compliance with applicable laws, resulting in civil or criminal proceedings;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we could grant exclusive rights to our collaborators that would prevent us from collaborating with others;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2" w:name="page63"/>
    <w:bookmarkEnd w:id="6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699" w:hanging="179"/>
        <w:spacing w:after="0" w:line="250" w:lineRule="auto"/>
        <w:tabs>
          <w:tab w:leader="none" w:pos="126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spacing w:after="0" w:line="52"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seek to amend or modify the terms of any collaboration;</w:t>
      </w:r>
    </w:p>
    <w:p>
      <w:pPr>
        <w:spacing w:after="0" w:line="96" w:lineRule="exact"/>
        <w:rPr>
          <w:rFonts w:ascii="Times New Roman" w:cs="Times New Roman" w:eastAsia="Times New Roman" w:hAnsi="Times New Roman"/>
          <w:sz w:val="14"/>
          <w:szCs w:val="14"/>
          <w:color w:val="auto"/>
        </w:rPr>
      </w:pPr>
    </w:p>
    <w:p>
      <w:pPr>
        <w:ind w:left="1260" w:right="739" w:hanging="179"/>
        <w:spacing w:after="0" w:line="260" w:lineRule="auto"/>
        <w:tabs>
          <w:tab w:leader="none" w:pos="126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45" w:lineRule="exact"/>
        <w:rPr>
          <w:rFonts w:ascii="Times New Roman" w:cs="Times New Roman" w:eastAsia="Times New Roman" w:hAnsi="Times New Roman"/>
          <w:sz w:val="14"/>
          <w:szCs w:val="14"/>
          <w:color w:val="auto"/>
        </w:rPr>
      </w:pPr>
    </w:p>
    <w:p>
      <w:pPr>
        <w:ind w:left="1260" w:right="819" w:hanging="179"/>
        <w:spacing w:after="0" w:line="281" w:lineRule="auto"/>
        <w:tabs>
          <w:tab w:leader="none" w:pos="126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collaborators may infringe the intellectual property rights of third parties, which may expose us to litigation and potential liability; and</w:t>
      </w:r>
    </w:p>
    <w:p>
      <w:pPr>
        <w:spacing w:after="0" w:line="30"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if a collaborator of ours is involved in a business combination, the collaborator might deemphasize or terminate the development or future commercialization of any product candidate licensed to it by us.</w:t>
      </w:r>
    </w:p>
    <w:p>
      <w:pPr>
        <w:spacing w:after="0" w:line="30"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p>
    <w:p>
      <w:pPr>
        <w:spacing w:after="0" w:line="54" w:lineRule="exact"/>
        <w:rPr>
          <w:sz w:val="20"/>
          <w:szCs w:val="20"/>
          <w:color w:val="auto"/>
        </w:rPr>
      </w:pPr>
    </w:p>
    <w:p>
      <w:pPr>
        <w:ind w:left="640" w:right="719" w:firstLine="443"/>
        <w:spacing w:after="0" w:line="254" w:lineRule="auto"/>
        <w:rPr>
          <w:sz w:val="20"/>
          <w:szCs w:val="20"/>
          <w:color w:val="auto"/>
        </w:rPr>
      </w:pPr>
      <w:r>
        <w:rPr>
          <w:rFonts w:ascii="Arial" w:cs="Arial" w:eastAsia="Arial" w:hAnsi="Arial"/>
          <w:sz w:val="14"/>
          <w:szCs w:val="14"/>
          <w:color w:val="auto"/>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w:t>
      </w:r>
    </w:p>
    <w:p>
      <w:pPr>
        <w:spacing w:after="0" w:line="49"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spacing w:after="0" w:line="54"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 See the section of this prospectus titled “</w:t>
      </w:r>
      <w:r>
        <w:rPr>
          <w:rFonts w:ascii="Arial" w:cs="Arial" w:eastAsia="Arial" w:hAnsi="Arial"/>
          <w:sz w:val="14"/>
          <w:szCs w:val="14"/>
          <w:i w:val="1"/>
          <w:iCs w:val="1"/>
          <w:color w:val="auto"/>
        </w:rPr>
        <w:t>Business</w:t>
      </w:r>
      <w:r>
        <w:rPr>
          <w:rFonts w:ascii="Arial" w:cs="Arial" w:eastAsia="Arial" w:hAnsi="Arial"/>
          <w:sz w:val="14"/>
          <w:szCs w:val="14"/>
          <w:color w:val="auto"/>
        </w:rPr>
        <w:t>—</w:t>
      </w:r>
      <w:r>
        <w:rPr>
          <w:rFonts w:ascii="Arial" w:cs="Arial" w:eastAsia="Arial" w:hAnsi="Arial"/>
          <w:sz w:val="14"/>
          <w:szCs w:val="14"/>
          <w:i w:val="1"/>
          <w:iCs w:val="1"/>
          <w:color w:val="auto"/>
        </w:rPr>
        <w:t>License and Collaboration Agreement</w:t>
      </w:r>
      <w:r>
        <w:rPr>
          <w:rFonts w:ascii="Arial" w:cs="Arial" w:eastAsia="Arial" w:hAnsi="Arial"/>
          <w:sz w:val="14"/>
          <w:szCs w:val="14"/>
          <w:color w:val="auto"/>
        </w:rPr>
        <w:t>” for more information on our collaboration agreements.</w:t>
      </w:r>
    </w:p>
    <w:p>
      <w:pPr>
        <w:spacing w:after="0" w:line="31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Risks Related to This Offering and Ownership of Our Common Stock</w:t>
      </w:r>
    </w:p>
    <w:p>
      <w:pPr>
        <w:spacing w:after="0" w:line="88" w:lineRule="exact"/>
        <w:rPr>
          <w:sz w:val="20"/>
          <w:szCs w:val="20"/>
          <w:color w:val="auto"/>
        </w:rPr>
      </w:pPr>
    </w:p>
    <w:p>
      <w:pPr>
        <w:ind w:left="640" w:right="779"/>
        <w:spacing w:after="0" w:line="264" w:lineRule="auto"/>
        <w:rPr>
          <w:sz w:val="20"/>
          <w:szCs w:val="20"/>
          <w:color w:val="auto"/>
        </w:rPr>
      </w:pPr>
      <w:r>
        <w:rPr>
          <w:rFonts w:ascii="Arial" w:cs="Arial" w:eastAsia="Arial" w:hAnsi="Arial"/>
          <w:sz w:val="14"/>
          <w:szCs w:val="14"/>
          <w:b w:val="1"/>
          <w:bCs w:val="1"/>
          <w:i w:val="1"/>
          <w:iCs w:val="1"/>
          <w:color w:val="auto"/>
        </w:rPr>
        <w:t>We recently remediated a material weakness in our internal control over financial reporting. If we experience additional material weaknesses in the future or otherwise fail to maintain effective internal control over financial reporting or disclosure controls in the future, we may be unable to produce accurate and timely financial</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40" w:right="959"/>
        <w:spacing w:after="0" w:line="288" w:lineRule="auto"/>
        <w:rPr>
          <w:sz w:val="20"/>
          <w:szCs w:val="20"/>
          <w:color w:val="auto"/>
        </w:rPr>
      </w:pPr>
      <w:r>
        <w:rPr>
          <w:rFonts w:ascii="Arial" w:cs="Arial" w:eastAsia="Arial" w:hAnsi="Arial"/>
          <w:sz w:val="14"/>
          <w:szCs w:val="14"/>
          <w:b w:val="1"/>
          <w:bCs w:val="1"/>
          <w:i w:val="1"/>
          <w:iCs w:val="1"/>
          <w:color w:val="auto"/>
        </w:rPr>
        <w:t>statements or detect acts of fraud, which may adversely affect investor confidence in us, and, as a result, the value of our common stock, or result in delisting, sanctions or other penalties that could harm our business.</w:t>
      </w:r>
    </w:p>
    <w:p>
      <w:pPr>
        <w:spacing w:after="0" w:line="20"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To comply with the requirements of being a public company, we will need to undertake various actions, including implementing new internal controls and procedures. The Sarbanes-Oxley Act of 2002, or the Sarbanes-Oxley Act, requires that we maintain effective disclosure controls and procedures and internal control over financial reporting. We previously identified a material weakness in our internal control over financial reporting for the years ended December 31, 2023 and 2022.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54" w:lineRule="exact"/>
        <w:rPr>
          <w:sz w:val="20"/>
          <w:szCs w:val="20"/>
          <w:color w:val="auto"/>
        </w:rPr>
      </w:pPr>
    </w:p>
    <w:p>
      <w:pPr>
        <w:ind w:left="640" w:right="699" w:firstLine="443"/>
        <w:spacing w:after="0" w:line="254" w:lineRule="auto"/>
        <w:rPr>
          <w:sz w:val="20"/>
          <w:szCs w:val="20"/>
          <w:color w:val="auto"/>
        </w:rPr>
      </w:pPr>
      <w:r>
        <w:rPr>
          <w:rFonts w:ascii="Arial" w:cs="Arial" w:eastAsia="Arial" w:hAnsi="Arial"/>
          <w:sz w:val="14"/>
          <w:szCs w:val="14"/>
          <w:color w:val="auto"/>
        </w:rPr>
        <w:t>The material weakness we identified related to (a) insufficient segregation of duties in the financial statement close process and (b) a lack of sufficient levels of staff with public company and technical accounting experience to maintain proper control activities and perform risk assessment and monitoring activities. We determined that, as of December 31, 2024, the material weakness had been remediated.</w:t>
      </w:r>
    </w:p>
    <w:p>
      <w:pPr>
        <w:spacing w:after="0" w:line="49" w:lineRule="exact"/>
        <w:rPr>
          <w:sz w:val="20"/>
          <w:szCs w:val="20"/>
          <w:color w:val="auto"/>
        </w:rPr>
      </w:pPr>
    </w:p>
    <w:p>
      <w:pPr>
        <w:ind w:left="640" w:right="759" w:firstLine="443"/>
        <w:spacing w:after="0" w:line="250" w:lineRule="auto"/>
        <w:rPr>
          <w:sz w:val="20"/>
          <w:szCs w:val="20"/>
          <w:color w:val="auto"/>
        </w:rPr>
      </w:pPr>
      <w:r>
        <w:rPr>
          <w:rFonts w:ascii="Arial" w:cs="Arial" w:eastAsia="Arial" w:hAnsi="Arial"/>
          <w:sz w:val="14"/>
          <w:szCs w:val="14"/>
          <w:color w:val="auto"/>
        </w:rPr>
        <w:t>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w:t>
      </w:r>
    </w:p>
    <w:p>
      <w:pPr>
        <w:spacing w:after="0" w:line="53" w:lineRule="exact"/>
        <w:rPr>
          <w:sz w:val="20"/>
          <w:szCs w:val="20"/>
          <w:color w:val="auto"/>
        </w:rPr>
      </w:pPr>
    </w:p>
    <w:p>
      <w:pPr>
        <w:ind w:left="640" w:right="719" w:firstLine="443"/>
        <w:spacing w:after="0" w:line="243" w:lineRule="auto"/>
        <w:rPr>
          <w:sz w:val="20"/>
          <w:szCs w:val="20"/>
          <w:color w:val="auto"/>
        </w:rPr>
      </w:pPr>
      <w:r>
        <w:rPr>
          <w:rFonts w:ascii="Arial" w:cs="Arial" w:eastAsia="Arial" w:hAnsi="Arial"/>
          <w:sz w:val="14"/>
          <w:szCs w:val="14"/>
          <w:color w:val="auto"/>
        </w:rPr>
        <w:t>Upon the closing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failure to remediate any material weakness or develop or maintain effective controls when we become subject to this requirement could negatively affect the results of periodic management evaluations regarding the effectiveness of our internal control over financial reporting that we will be required to include in our periodic reports we will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as a result. In addition, if we are unable to continue to meet these requirements, we may be delisted from Nasdaq.</w:t>
      </w:r>
    </w:p>
    <w:p>
      <w:pPr>
        <w:spacing w:after="0" w:line="61"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Our independent registered public accounting firm will not be required to formally attest to the effectiveness of our internal control over financial reporting until the later of (i) our second annual report or (ii) the first annual report required to be filed with the SEC following the date we are no longer an “emerging growth company,” as defined in the Jumpstart Our Business Startups Act, or the JOBS Act, or a “smaller reporting company” as defined by the SEC.</w:t>
      </w:r>
    </w:p>
    <w:p>
      <w:pPr>
        <w:spacing w:after="0" w:line="49" w:lineRule="exact"/>
        <w:rPr>
          <w:sz w:val="20"/>
          <w:szCs w:val="20"/>
          <w:color w:val="auto"/>
        </w:rPr>
      </w:pPr>
    </w:p>
    <w:p>
      <w:pPr>
        <w:ind w:left="640" w:right="719" w:firstLine="443"/>
        <w:spacing w:after="0" w:line="250" w:lineRule="auto"/>
        <w:rPr>
          <w:sz w:val="20"/>
          <w:szCs w:val="20"/>
          <w:color w:val="auto"/>
        </w:rPr>
      </w:pPr>
      <w:r>
        <w:rPr>
          <w:rFonts w:ascii="Arial" w:cs="Arial" w:eastAsia="Arial" w:hAnsi="Arial"/>
          <w:sz w:val="14"/>
          <w:szCs w:val="14"/>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53"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If we are not able to comply with the requirements of Section 404 of the Sarbanes-Oxley Act in a timely manner, we may not be able to produce timely and accurate financial statements or detect acts of fraud.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41" w:lineRule="exact"/>
        <w:rPr>
          <w:sz w:val="20"/>
          <w:szCs w:val="20"/>
          <w:color w:val="auto"/>
        </w:rPr>
      </w:pPr>
    </w:p>
    <w:p>
      <w:pPr>
        <w:ind w:left="640" w:right="979"/>
        <w:spacing w:after="0" w:line="288" w:lineRule="auto"/>
        <w:rPr>
          <w:sz w:val="20"/>
          <w:szCs w:val="20"/>
          <w:color w:val="auto"/>
        </w:rPr>
      </w:pPr>
      <w:r>
        <w:rPr>
          <w:rFonts w:ascii="Arial" w:cs="Arial" w:eastAsia="Arial" w:hAnsi="Arial"/>
          <w:sz w:val="14"/>
          <w:szCs w:val="14"/>
          <w:b w:val="1"/>
          <w:bCs w:val="1"/>
          <w:i w:val="1"/>
          <w:iCs w:val="1"/>
          <w:color w:val="auto"/>
        </w:rPr>
        <w:t>An active and liquid trading market for our common stock may not develop and you may not be able to resell your shares of common stock at or above the initial public offering price, if at all.</w:t>
      </w:r>
    </w:p>
    <w:p>
      <w:pPr>
        <w:spacing w:after="0" w:line="20"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Prior to this offering, no market for shares of our common stock existed. We have applied to list our common stock on Nasdaq under the symbol “ODTX.” However, there is no assurance that our application to list our common stock on Nasdaq will be approved. Even if our common stock is listed and this offering is consummated, an active or liquid trading market for our common stock may never develop or be sustained.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if at all. Moreover, the initial public offering price for our common stock will be determined through negotiations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spacing w:after="0" w:line="248" w:lineRule="auto"/>
        <w:rPr>
          <w:sz w:val="20"/>
          <w:szCs w:val="20"/>
          <w:color w:val="auto"/>
        </w:rPr>
      </w:pPr>
      <w:r>
        <w:rPr>
          <w:rFonts w:ascii="Arial" w:cs="Arial" w:eastAsia="Arial" w:hAnsi="Arial"/>
          <w:sz w:val="14"/>
          <w:szCs w:val="14"/>
          <w:color w:val="auto"/>
        </w:rPr>
        <w:t>with the underwriters, and may vary from the market price of our common stock following this offering. As a result of these and other factors, you may be unable to resell your shares of our common stock at or above the initial public offering price, at the time you wish to sell them, or at a price that you consider reasonable. The lack of an active market may also reduce the fair market value of your shares. Furthermore, an inactive market may also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42" w:lineRule="exact"/>
        <w:rPr>
          <w:sz w:val="20"/>
          <w:szCs w:val="20"/>
          <w:color w:val="auto"/>
        </w:rPr>
      </w:pPr>
    </w:p>
    <w:p>
      <w:pPr>
        <w:ind w:left="640" w:right="799"/>
        <w:spacing w:after="0" w:line="288" w:lineRule="auto"/>
        <w:rPr>
          <w:sz w:val="20"/>
          <w:szCs w:val="20"/>
          <w:color w:val="auto"/>
        </w:rPr>
      </w:pPr>
      <w:r>
        <w:rPr>
          <w:rFonts w:ascii="Arial" w:cs="Arial" w:eastAsia="Arial" w:hAnsi="Arial"/>
          <w:sz w:val="14"/>
          <w:szCs w:val="14"/>
          <w:b w:val="1"/>
          <w:bCs w:val="1"/>
          <w:i w:val="1"/>
          <w:iCs w:val="1"/>
          <w:color w:val="auto"/>
        </w:rPr>
        <w:t>Our stock price may be volatile, which could result in substantial losses for investors purchasing shares in this offering.</w:t>
      </w:r>
    </w:p>
    <w:p>
      <w:pPr>
        <w:spacing w:after="0" w:line="20" w:lineRule="exact"/>
        <w:rPr>
          <w:sz w:val="20"/>
          <w:szCs w:val="20"/>
          <w:color w:val="auto"/>
        </w:rPr>
      </w:pPr>
    </w:p>
    <w:p>
      <w:pPr>
        <w:ind w:left="640" w:right="1139" w:firstLine="443"/>
        <w:spacing w:after="0" w:line="282" w:lineRule="auto"/>
        <w:rPr>
          <w:sz w:val="20"/>
          <w:szCs w:val="20"/>
          <w:color w:val="auto"/>
        </w:rPr>
      </w:pPr>
      <w:r>
        <w:rPr>
          <w:rFonts w:ascii="Arial" w:cs="Arial" w:eastAsia="Arial" w:hAnsi="Arial"/>
          <w:sz w:val="14"/>
          <w:szCs w:val="14"/>
          <w:color w:val="auto"/>
        </w:rPr>
        <w:t>The market price of our common stock is likely to be volatile and could fluctuate widely in response to many factors, including but not limited to:</w:t>
      </w:r>
    </w:p>
    <w:p>
      <w:pPr>
        <w:spacing w:after="0" w:line="30" w:lineRule="exact"/>
        <w:rPr>
          <w:sz w:val="20"/>
          <w:szCs w:val="20"/>
          <w:color w:val="auto"/>
        </w:rPr>
      </w:pPr>
    </w:p>
    <w:p>
      <w:pPr>
        <w:ind w:left="1260" w:right="87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results of our preclinical studies and clinical trials, and the results of trials of our competitors or those of other companies in our market sector;</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volatility and instability in the financial and capital markets;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announcements by competitors that impact our competitive outlook;</w:t>
      </w:r>
    </w:p>
    <w:p>
      <w:pPr>
        <w:spacing w:after="0" w:line="96"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developments with respect to our product candidates, or similar products or product candidates against which we compete;</w:t>
      </w:r>
    </w:p>
    <w:p>
      <w:pPr>
        <w:spacing w:after="0" w:line="30" w:lineRule="exact"/>
        <w:rPr>
          <w:rFonts w:ascii="Times New Roman" w:cs="Times New Roman" w:eastAsia="Times New Roman" w:hAnsi="Times New Roman"/>
          <w:sz w:val="14"/>
          <w:szCs w:val="14"/>
          <w:color w:val="auto"/>
        </w:rPr>
      </w:pPr>
    </w:p>
    <w:p>
      <w:pPr>
        <w:ind w:left="1260" w:right="135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the results of our efforts to discover, develop, acquire or in-license additional current or future product candidates;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additions or departures of key personnel;</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developments with respect to patents or other intellectual property rights;</w:t>
      </w:r>
    </w:p>
    <w:p>
      <w:pPr>
        <w:spacing w:after="0" w:line="96" w:lineRule="exact"/>
        <w:rPr>
          <w:rFonts w:ascii="Times New Roman" w:cs="Times New Roman" w:eastAsia="Times New Roman" w:hAnsi="Times New Roman"/>
          <w:sz w:val="14"/>
          <w:szCs w:val="14"/>
          <w:color w:val="auto"/>
        </w:rPr>
      </w:pPr>
    </w:p>
    <w:p>
      <w:pPr>
        <w:ind w:left="1260" w:right="77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announcements of technological innovations, new product candidates, new products or new contracts by us or our competitors;</w:t>
      </w:r>
    </w:p>
    <w:p>
      <w:pPr>
        <w:spacing w:after="0" w:line="30"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announcements relating to strategic transactions, including acquisitions, dispositions, collaborations, licenses or similar arrangements;</w:t>
      </w:r>
    </w:p>
    <w:p>
      <w:pPr>
        <w:spacing w:after="0" w:line="30"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actual or anticipated variations in our operating results due to the level of development expenses and other factors;</w:t>
      </w:r>
    </w:p>
    <w:p>
      <w:pPr>
        <w:spacing w:after="0" w:line="30" w:lineRule="exact"/>
        <w:rPr>
          <w:rFonts w:ascii="Times New Roman" w:cs="Times New Roman" w:eastAsia="Times New Roman" w:hAnsi="Times New Roman"/>
          <w:sz w:val="14"/>
          <w:szCs w:val="14"/>
          <w:color w:val="auto"/>
        </w:rPr>
      </w:pPr>
    </w:p>
    <w:p>
      <w:pPr>
        <w:ind w:left="1260" w:right="67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changes in financial estimates by equity research analysts and whether our earnings (or losses) meet or exceed such estimates;</w:t>
      </w:r>
    </w:p>
    <w:p>
      <w:pPr>
        <w:spacing w:after="0" w:line="30"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announcement or expectation of additional financing efforts and receipt, or lack of receipt, of funding in support of conducting our business;</w:t>
      </w:r>
    </w:p>
    <w:p>
      <w:pPr>
        <w:spacing w:after="0" w:line="30"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sales or the perception of potential sales of our common stock by us, our insiders, or other stockholders, or issuances by us of shares of our common stock in connection with strategic transactions;</w:t>
      </w:r>
    </w:p>
    <w:p>
      <w:pPr>
        <w:spacing w:after="0" w:line="30" w:lineRule="exact"/>
        <w:rPr>
          <w:rFonts w:ascii="Times New Roman" w:cs="Times New Roman" w:eastAsia="Times New Roman" w:hAnsi="Times New Roman"/>
          <w:sz w:val="14"/>
          <w:szCs w:val="14"/>
          <w:color w:val="auto"/>
        </w:rPr>
      </w:pPr>
    </w:p>
    <w:p>
      <w:pPr>
        <w:ind w:left="1260" w:right="143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expiration of market standoff or lock-up agreements described in the section of this prospectus titled “</w:t>
      </w:r>
      <w:r>
        <w:rPr>
          <w:rFonts w:ascii="Arial" w:cs="Arial" w:eastAsia="Arial" w:hAnsi="Arial"/>
          <w:sz w:val="14"/>
          <w:szCs w:val="14"/>
          <w:i w:val="1"/>
          <w:iCs w:val="1"/>
          <w:color w:val="auto"/>
        </w:rPr>
        <w:t>Underwriting</w:t>
      </w:r>
      <w:r>
        <w:rPr>
          <w:rFonts w:ascii="Arial" w:cs="Arial" w:eastAsia="Arial" w:hAnsi="Arial"/>
          <w:sz w:val="14"/>
          <w:szCs w:val="14"/>
          <w:color w:val="auto"/>
        </w:rPr>
        <w:t>”;</w:t>
      </w:r>
    </w:p>
    <w:p>
      <w:pPr>
        <w:spacing w:after="0" w:line="30" w:lineRule="exact"/>
        <w:rPr>
          <w:rFonts w:ascii="Times New Roman" w:cs="Times New Roman" w:eastAsia="Times New Roman" w:hAnsi="Times New Roman"/>
          <w:sz w:val="14"/>
          <w:szCs w:val="14"/>
          <w:color w:val="auto"/>
        </w:rPr>
      </w:pPr>
    </w:p>
    <w:p>
      <w:pPr>
        <w:ind w:left="1260" w:right="125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regulatory developments within, and outside of, the United States, including changes in the structure of healthcare payment systems;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litigation or arbitration;</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pandemics, natural disasters or major catastrophic events; and</w:t>
      </w:r>
    </w:p>
    <w:p>
      <w:pPr>
        <w:spacing w:after="0" w:line="96"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general economic, political and market conditions and other factors, including any such changes specific to the pharmaceutical and biotechnology sectors.</w:t>
      </w:r>
    </w:p>
    <w:p>
      <w:pPr>
        <w:spacing w:after="0" w:line="30"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1199"/>
        <w:spacing w:after="0" w:line="288" w:lineRule="auto"/>
        <w:rPr>
          <w:sz w:val="20"/>
          <w:szCs w:val="20"/>
          <w:color w:val="auto"/>
        </w:rPr>
      </w:pPr>
      <w:r>
        <w:rPr>
          <w:rFonts w:ascii="Arial" w:cs="Arial" w:eastAsia="Arial" w:hAnsi="Arial"/>
          <w:sz w:val="14"/>
          <w:szCs w:val="14"/>
          <w:b w:val="1"/>
          <w:bCs w:val="1"/>
          <w:i w:val="1"/>
          <w:iCs w:val="1"/>
          <w:color w:val="auto"/>
        </w:rPr>
        <w:t>We or our directors or officers may be subject to securities litigation, which is expensive and could divert management attention.</w:t>
      </w:r>
    </w:p>
    <w:p>
      <w:pPr>
        <w:spacing w:after="0" w:line="20"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p>
    <w:p>
      <w:pPr>
        <w:spacing w:after="0" w:line="148" w:lineRule="exact"/>
        <w:rPr>
          <w:sz w:val="20"/>
          <w:szCs w:val="20"/>
          <w:color w:val="auto"/>
        </w:rPr>
      </w:pPr>
    </w:p>
    <w:p>
      <w:pPr>
        <w:ind w:left="640" w:right="739"/>
        <w:spacing w:after="0" w:line="288" w:lineRule="auto"/>
        <w:rPr>
          <w:sz w:val="20"/>
          <w:szCs w:val="20"/>
          <w:color w:val="auto"/>
        </w:rPr>
      </w:pPr>
      <w:r>
        <w:rPr>
          <w:rFonts w:ascii="Arial" w:cs="Arial" w:eastAsia="Arial" w:hAnsi="Arial"/>
          <w:sz w:val="14"/>
          <w:szCs w:val="14"/>
          <w:b w:val="1"/>
          <w:bCs w:val="1"/>
          <w:i w:val="1"/>
          <w:iCs w:val="1"/>
          <w:color w:val="auto"/>
        </w:rPr>
        <w:t>You will experience immediate and substantial dilution as a result of this offering and may experience additional dilution in the future.</w:t>
      </w:r>
    </w:p>
    <w:p>
      <w:pPr>
        <w:spacing w:after="0" w:line="20" w:lineRule="exact"/>
        <w:rPr>
          <w:sz w:val="20"/>
          <w:szCs w:val="20"/>
          <w:color w:val="auto"/>
        </w:rPr>
      </w:pPr>
    </w:p>
    <w:p>
      <w:pPr>
        <w:ind w:left="640" w:right="719" w:firstLine="443"/>
        <w:spacing w:after="0" w:line="245" w:lineRule="auto"/>
        <w:rPr>
          <w:sz w:val="20"/>
          <w:szCs w:val="20"/>
          <w:color w:val="auto"/>
        </w:rPr>
      </w:pPr>
      <w:r>
        <w:rPr>
          <w:rFonts w:ascii="Arial" w:cs="Arial" w:eastAsia="Arial" w:hAnsi="Arial"/>
          <w:sz w:val="14"/>
          <w:szCs w:val="14"/>
          <w:color w:val="auto"/>
        </w:rPr>
        <w:t>You will suffer immediate and substantial dilution with respect to the common stock you purchase in this offering. Specifically, assuming an initial public offering price of $           per share, which is the midpoint of the price range set forth on the cover page of this prospectus, and assuming that the number of shares offered by us, as set forth on the cover page of this prospectus, remains the same and that the underwriters do not exercise their option to purchase</w:t>
      </w:r>
    </w:p>
    <w:p>
      <w:pPr>
        <w:spacing w:after="0" w:line="1" w:lineRule="exact"/>
        <w:rPr>
          <w:sz w:val="20"/>
          <w:szCs w:val="20"/>
          <w:color w:val="auto"/>
        </w:rPr>
      </w:pPr>
    </w:p>
    <w:p>
      <w:pPr>
        <w:ind w:left="640" w:right="679"/>
        <w:spacing w:after="0"/>
        <w:rPr>
          <w:sz w:val="20"/>
          <w:szCs w:val="20"/>
          <w:color w:val="auto"/>
        </w:rPr>
      </w:pPr>
      <w:r>
        <w:rPr>
          <w:rFonts w:ascii="Arial" w:cs="Arial" w:eastAsia="Arial" w:hAnsi="Arial"/>
          <w:sz w:val="14"/>
          <w:szCs w:val="14"/>
          <w:color w:val="auto"/>
        </w:rPr>
        <w:t>additional shares of common stock in this offering, you will incur immediate dilution of $        per share. That number represents the difference between the assumed initial public offering price of $           per share and our pro forma net</w:t>
      </w:r>
    </w:p>
    <w:p>
      <w:pPr>
        <w:ind w:left="640" w:right="659"/>
        <w:spacing w:after="0" w:line="243" w:lineRule="auto"/>
        <w:rPr>
          <w:sz w:val="20"/>
          <w:szCs w:val="20"/>
          <w:color w:val="auto"/>
        </w:rPr>
      </w:pPr>
      <w:r>
        <w:rPr>
          <w:rFonts w:ascii="Arial" w:cs="Arial" w:eastAsia="Arial" w:hAnsi="Arial"/>
          <w:sz w:val="14"/>
          <w:szCs w:val="14"/>
          <w:color w:val="auto"/>
        </w:rPr>
        <w:t>tangible book value per share as of December 31, 2025, after giving effect to (i) the conversion of all outstanding shares of our convertible preferred stock into an aggregate of 238,999,327 shares of our common stock immediately prior to the closing of this offering, (ii) the automatic exercise of outstanding warrants issued in connection with our Series D Preferred Stock Financing, or the Common Stock Warrants, on a net exercise basis, into an aggregate of 32,142,070 shares of our common stock immediately prior to the closing of this offering, (iii) the automatic conversion of all outstanding shares of our non-voting common stock into an aggregate of 81,240 shares of our common stock upon the closing of this offering and (iv) the filing and effectiveness of our Certificate of Incorporation to be effective immediately prior to the closing of this offering.</w:t>
      </w:r>
    </w:p>
    <w:p>
      <w:pPr>
        <w:spacing w:after="0" w:line="220" w:lineRule="exact"/>
        <w:rPr>
          <w:sz w:val="20"/>
          <w:szCs w:val="20"/>
          <w:color w:val="auto"/>
        </w:rPr>
      </w:pPr>
    </w:p>
    <w:p>
      <w:pPr>
        <w:ind w:left="640" w:right="739" w:firstLine="443"/>
        <w:spacing w:after="0" w:line="245" w:lineRule="auto"/>
        <w:rPr>
          <w:sz w:val="20"/>
          <w:szCs w:val="20"/>
          <w:color w:val="auto"/>
        </w:rPr>
      </w:pPr>
      <w:r>
        <w:rPr>
          <w:rFonts w:ascii="Arial" w:cs="Arial" w:eastAsia="Arial" w:hAnsi="Arial"/>
          <w:sz w:val="14"/>
          <w:szCs w:val="14"/>
          <w:color w:val="auto"/>
        </w:rPr>
        <w:t xml:space="preserve">Furthermore, pursuant to our 2026 Long-Term Incentive Plan, or the 2026 Plan, adopted in connection with the closing of this offering, our management is authorized to grant stock options to our employees, directors and consultants. Initially, the aggregate number of shares of our common stock that may be issued pursuant to stock awards under the 2026 Plan and pursuant to the 2026 Employee Stock Purchase Plan, or the ESPP, is         shares and        </w:t>
      </w:r>
    </w:p>
    <w:p>
      <w:pPr>
        <w:spacing w:after="0" w:line="1" w:lineRule="exact"/>
        <w:rPr>
          <w:sz w:val="20"/>
          <w:szCs w:val="20"/>
          <w:color w:val="auto"/>
        </w:rPr>
      </w:pPr>
    </w:p>
    <w:p>
      <w:pPr>
        <w:ind w:left="640" w:right="699"/>
        <w:spacing w:after="0" w:line="241" w:lineRule="auto"/>
        <w:rPr>
          <w:sz w:val="20"/>
          <w:szCs w:val="20"/>
          <w:color w:val="auto"/>
        </w:rPr>
      </w:pPr>
      <w:r>
        <w:rPr>
          <w:rFonts w:ascii="Arial" w:cs="Arial" w:eastAsia="Arial" w:hAnsi="Arial"/>
          <w:sz w:val="14"/>
          <w:szCs w:val="14"/>
          <w:color w:val="auto"/>
        </w:rPr>
        <w:t>shares, respectively. Additionally, the number of shares of our common stock reserved for issuance under the 2026 Plan will automatically increase on January 1 of each year, beginning on January 1, 2027 and continuing through January 1, 2036, in an amount equal to 5% of the total number of shares of our capital stock (including shares underlying pre-funded warrants with an exercise price per share of $0.01 or less) outstanding on December 31 of the immediately preceding calendar year, and the number of shares of our common stock reserved for issuance under the ESPP will automatically increase on January 1 of each year, beginning on January 1, 2027 and continuing through and including January 1, 2036, in an amount equal to the lesser of (i) 1% of the total number of shares of our capital stock outstanding on December 31 of the immediately preceding year and (ii)         shares of our common stock, in each case unless our board of directors provides for a less number. Unless our board of directors elects not to increase the number of shares available for future grant each year, our stockholders may experience additional dilution, which could cause our stock price to fall. As of December 31, 2025, in addition to the Common Stock Warrants from our Series D Preferred Stock Financing, we also had 16,928 shares of our common stock issuable upon the exercise of an outstanding warrant to purchase Series A-2 convertible preferred stock held by Banc of California (formerly Pacific Western Bank), at an exercise price of $6.15 per share (after giving effect to the conversion of our convertible preferred stock into common stock).</w:t>
      </w:r>
    </w:p>
    <w:p>
      <w:pPr>
        <w:spacing w:after="0" w:line="64" w:lineRule="exact"/>
        <w:rPr>
          <w:sz w:val="20"/>
          <w:szCs w:val="20"/>
          <w:color w:val="auto"/>
        </w:rPr>
      </w:pPr>
    </w:p>
    <w:p>
      <w:pPr>
        <w:ind w:left="640" w:right="899" w:firstLine="443"/>
        <w:spacing w:after="0" w:line="282" w:lineRule="auto"/>
        <w:rPr>
          <w:sz w:val="20"/>
          <w:szCs w:val="20"/>
          <w:color w:val="auto"/>
        </w:rPr>
      </w:pPr>
      <w:r>
        <w:rPr>
          <w:rFonts w:ascii="Arial" w:cs="Arial" w:eastAsia="Arial" w:hAnsi="Arial"/>
          <w:sz w:val="14"/>
          <w:szCs w:val="14"/>
          <w:color w:val="auto"/>
        </w:rPr>
        <w:t>For a further description of the dilution you will experience immediately after this offering, see the section of this prospectus titled “</w:t>
      </w:r>
      <w:r>
        <w:rPr>
          <w:rFonts w:ascii="Arial" w:cs="Arial" w:eastAsia="Arial" w:hAnsi="Arial"/>
          <w:sz w:val="14"/>
          <w:szCs w:val="14"/>
          <w:i w:val="1"/>
          <w:iCs w:val="1"/>
          <w:color w:val="auto"/>
        </w:rPr>
        <w:t>Dilution</w:t>
      </w:r>
      <w:r>
        <w:rPr>
          <w:rFonts w:ascii="Arial" w:cs="Arial" w:eastAsia="Arial" w:hAnsi="Arial"/>
          <w:sz w:val="14"/>
          <w:szCs w:val="14"/>
          <w:color w:val="auto"/>
        </w:rPr>
        <w:t>.”</w:t>
      </w:r>
    </w:p>
    <w:p>
      <w:pPr>
        <w:spacing w:after="0" w:line="118" w:lineRule="exact"/>
        <w:rPr>
          <w:sz w:val="20"/>
          <w:szCs w:val="20"/>
          <w:color w:val="auto"/>
        </w:rPr>
      </w:pPr>
    </w:p>
    <w:p>
      <w:pPr>
        <w:ind w:left="640" w:right="919"/>
        <w:spacing w:after="0" w:line="264" w:lineRule="auto"/>
        <w:rPr>
          <w:sz w:val="20"/>
          <w:szCs w:val="20"/>
          <w:color w:val="auto"/>
        </w:rPr>
      </w:pPr>
      <w:r>
        <w:rPr>
          <w:rFonts w:ascii="Arial" w:cs="Arial" w:eastAsia="Arial" w:hAnsi="Arial"/>
          <w:sz w:val="14"/>
          <w:szCs w:val="14"/>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36" w:lineRule="exact"/>
        <w:rPr>
          <w:sz w:val="20"/>
          <w:szCs w:val="20"/>
          <w:color w:val="auto"/>
        </w:rPr>
      </w:pPr>
    </w:p>
    <w:p>
      <w:pPr>
        <w:ind w:left="640" w:right="679" w:firstLine="443"/>
        <w:spacing w:after="0" w:line="282" w:lineRule="auto"/>
        <w:rPr>
          <w:sz w:val="20"/>
          <w:szCs w:val="20"/>
          <w:color w:val="auto"/>
        </w:rPr>
      </w:pPr>
      <w:r>
        <w:rPr>
          <w:rFonts w:ascii="Arial" w:cs="Arial" w:eastAsia="Arial" w:hAnsi="Arial"/>
          <w:sz w:val="14"/>
          <w:szCs w:val="14"/>
          <w:color w:val="auto"/>
        </w:rPr>
        <w:t>We expect our operating results to be subject to quarterly and annual fluctuations that may, in turn, cause the price of our common stock to fluctuate substantially. Our net loss and other operating results will be affected by numerous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spacing w:after="0" w:line="282" w:lineRule="auto"/>
        <w:rPr>
          <w:sz w:val="20"/>
          <w:szCs w:val="20"/>
          <w:color w:val="auto"/>
        </w:rPr>
      </w:pPr>
      <w:r>
        <w:rPr>
          <w:rFonts w:ascii="Arial" w:cs="Arial" w:eastAsia="Arial" w:hAnsi="Arial"/>
          <w:sz w:val="14"/>
          <w:szCs w:val="14"/>
          <w:color w:val="auto"/>
        </w:rPr>
        <w:t>factors, including, among other things, the results and timing of preclinical studies and ongoing and future clinical trials, or the addition or termination of any such preclinical studies or clinical trials.</w:t>
      </w:r>
    </w:p>
    <w:p>
      <w:pPr>
        <w:spacing w:after="0" w:line="30" w:lineRule="exact"/>
        <w:rPr>
          <w:sz w:val="20"/>
          <w:szCs w:val="20"/>
          <w:color w:val="auto"/>
        </w:rPr>
      </w:pPr>
    </w:p>
    <w:p>
      <w:pPr>
        <w:ind w:left="640" w:right="879" w:firstLine="443"/>
        <w:spacing w:after="0" w:line="250" w:lineRule="auto"/>
        <w:rPr>
          <w:sz w:val="20"/>
          <w:szCs w:val="20"/>
          <w:color w:val="auto"/>
        </w:rPr>
      </w:pPr>
      <w:r>
        <w:rPr>
          <w:rFonts w:ascii="Arial" w:cs="Arial" w:eastAsia="Arial" w:hAnsi="Arial"/>
          <w:sz w:val="14"/>
          <w:szCs w:val="14"/>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141" w:lineRule="exact"/>
        <w:rPr>
          <w:sz w:val="20"/>
          <w:szCs w:val="20"/>
          <w:color w:val="auto"/>
        </w:rPr>
      </w:pPr>
    </w:p>
    <w:p>
      <w:pPr>
        <w:ind w:left="640" w:right="1259"/>
        <w:spacing w:after="0" w:line="288" w:lineRule="auto"/>
        <w:rPr>
          <w:sz w:val="20"/>
          <w:szCs w:val="20"/>
          <w:color w:val="auto"/>
        </w:rPr>
      </w:pPr>
      <w:r>
        <w:rPr>
          <w:rFonts w:ascii="Arial" w:cs="Arial" w:eastAsia="Arial" w:hAnsi="Arial"/>
          <w:sz w:val="14"/>
          <w:szCs w:val="14"/>
          <w:b w:val="1"/>
          <w:bCs w:val="1"/>
          <w:i w:val="1"/>
          <w:iCs w:val="1"/>
          <w:color w:val="auto"/>
        </w:rPr>
        <w:t>Because we do not anticipate paying any dividends on our capital stock in the foreseeable future, capital appreciation, if any, will be your sole source of gain.</w:t>
      </w:r>
    </w:p>
    <w:p>
      <w:pPr>
        <w:spacing w:after="0" w:line="20" w:lineRule="exact"/>
        <w:rPr>
          <w:sz w:val="20"/>
          <w:szCs w:val="20"/>
          <w:color w:val="auto"/>
        </w:rPr>
      </w:pPr>
    </w:p>
    <w:p>
      <w:pPr>
        <w:ind w:left="640" w:right="959" w:firstLine="443"/>
        <w:spacing w:after="0" w:line="254" w:lineRule="auto"/>
        <w:rPr>
          <w:sz w:val="20"/>
          <w:szCs w:val="20"/>
          <w:color w:val="auto"/>
        </w:rPr>
      </w:pPr>
      <w:r>
        <w:rPr>
          <w:rFonts w:ascii="Arial" w:cs="Arial" w:eastAsia="Arial" w:hAnsi="Arial"/>
          <w:sz w:val="14"/>
          <w:szCs w:val="14"/>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137" w:lineRule="exact"/>
        <w:rPr>
          <w:sz w:val="20"/>
          <w:szCs w:val="20"/>
          <w:color w:val="auto"/>
        </w:rPr>
      </w:pPr>
    </w:p>
    <w:p>
      <w:pPr>
        <w:ind w:left="640" w:right="1139"/>
        <w:spacing w:after="0" w:line="288" w:lineRule="auto"/>
        <w:rPr>
          <w:sz w:val="20"/>
          <w:szCs w:val="20"/>
          <w:color w:val="auto"/>
        </w:rPr>
      </w:pPr>
      <w:r>
        <w:rPr>
          <w:rFonts w:ascii="Arial" w:cs="Arial" w:eastAsia="Arial" w:hAnsi="Arial"/>
          <w:sz w:val="14"/>
          <w:szCs w:val="14"/>
          <w:b w:val="1"/>
          <w:bCs w:val="1"/>
          <w:i w:val="1"/>
          <w:iCs w:val="1"/>
          <w:color w:val="auto"/>
        </w:rPr>
        <w:t>We have broad discretion in how we use the net proceeds of this offering and may not use these proceeds effectively, which could affect our results of operations and cause our stock price to decline.</w:t>
      </w:r>
    </w:p>
    <w:p>
      <w:pPr>
        <w:spacing w:after="0" w:line="20"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We will have considerable discretion in the application of the net proceeds of this offering, including for any of the purposes described in the section of this prospectus titled “</w:t>
      </w:r>
      <w:r>
        <w:rPr>
          <w:rFonts w:ascii="Arial" w:cs="Arial" w:eastAsia="Arial" w:hAnsi="Arial"/>
          <w:sz w:val="14"/>
          <w:szCs w:val="14"/>
          <w:i w:val="1"/>
          <w:iCs w:val="1"/>
          <w:color w:val="auto"/>
        </w:rPr>
        <w:t>Use of Proceeds</w:t>
      </w:r>
      <w:r>
        <w:rPr>
          <w:rFonts w:ascii="Arial" w:cs="Arial" w:eastAsia="Arial" w:hAnsi="Arial"/>
          <w:sz w:val="14"/>
          <w:szCs w:val="14"/>
          <w:color w:val="auto"/>
        </w:rPr>
        <w:t>,”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42" w:lineRule="exact"/>
        <w:rPr>
          <w:sz w:val="20"/>
          <w:szCs w:val="20"/>
          <w:color w:val="auto"/>
        </w:rPr>
      </w:pPr>
    </w:p>
    <w:p>
      <w:pPr>
        <w:ind w:left="640" w:right="1459"/>
        <w:spacing w:after="0" w:line="288" w:lineRule="auto"/>
        <w:rPr>
          <w:sz w:val="20"/>
          <w:szCs w:val="20"/>
          <w:color w:val="auto"/>
        </w:rPr>
      </w:pPr>
      <w:r>
        <w:rPr>
          <w:rFonts w:ascii="Arial" w:cs="Arial" w:eastAsia="Arial" w:hAnsi="Arial"/>
          <w:sz w:val="14"/>
          <w:szCs w:val="14"/>
          <w:b w:val="1"/>
          <w:bCs w:val="1"/>
          <w:i w:val="1"/>
          <w:iCs w:val="1"/>
          <w:color w:val="auto"/>
        </w:rPr>
        <w:t>Our board of directors will be authorized to issue and designate shares of our preferred stock without stockholder approval.</w:t>
      </w:r>
    </w:p>
    <w:p>
      <w:pPr>
        <w:spacing w:after="0" w:line="20"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Our Certificate of Incorporation, which will be effective immediately prior to the closing of this offering, will authorize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142" w:lineRule="exact"/>
        <w:rPr>
          <w:sz w:val="20"/>
          <w:szCs w:val="20"/>
          <w:color w:val="auto"/>
        </w:rPr>
      </w:pPr>
    </w:p>
    <w:p>
      <w:pPr>
        <w:ind w:left="640" w:right="699"/>
        <w:spacing w:after="0" w:line="264" w:lineRule="auto"/>
        <w:rPr>
          <w:sz w:val="20"/>
          <w:szCs w:val="20"/>
          <w:color w:val="auto"/>
        </w:rPr>
      </w:pPr>
      <w:r>
        <w:rPr>
          <w:rFonts w:ascii="Arial" w:cs="Arial" w:eastAsia="Arial" w:hAnsi="Arial"/>
          <w:sz w:val="14"/>
          <w:szCs w:val="14"/>
          <w:b w:val="1"/>
          <w:bCs w:val="1"/>
          <w:i w:val="1"/>
          <w:iCs w:val="1"/>
          <w:color w:val="auto"/>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p>
    <w:p>
      <w:pPr>
        <w:spacing w:after="0" w:line="36" w:lineRule="exact"/>
        <w:rPr>
          <w:sz w:val="20"/>
          <w:szCs w:val="20"/>
          <w:color w:val="auto"/>
        </w:rPr>
      </w:pPr>
    </w:p>
    <w:p>
      <w:pPr>
        <w:ind w:left="640" w:right="779" w:firstLine="443"/>
        <w:spacing w:after="0" w:line="254" w:lineRule="auto"/>
        <w:rPr>
          <w:sz w:val="20"/>
          <w:szCs w:val="20"/>
          <w:color w:val="auto"/>
        </w:rPr>
      </w:pPr>
      <w:r>
        <w:rPr>
          <w:rFonts w:ascii="Arial" w:cs="Arial" w:eastAsia="Arial" w:hAnsi="Arial"/>
          <w:sz w:val="14"/>
          <w:szCs w:val="14"/>
          <w:color w:val="auto"/>
        </w:rPr>
        <w:t>As part of our business strategy,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Any potential transaction may entail numerous risks, including:</w:t>
      </w:r>
    </w:p>
    <w:p>
      <w:pPr>
        <w:spacing w:after="0" w:line="86" w:lineRule="exact"/>
        <w:rPr>
          <w:sz w:val="20"/>
          <w:szCs w:val="20"/>
          <w:color w:val="auto"/>
        </w:rPr>
      </w:pPr>
    </w:p>
    <w:p>
      <w:pPr>
        <w:ind w:left="1260" w:hanging="179"/>
        <w:spacing w:after="0"/>
        <w:tabs>
          <w:tab w:leader="none" w:pos="126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increased operating expenses and cash requirements;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the assumption of indebtedness, contractual obligations or contingent liabilities;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the issuance of our equity securities;</w:t>
      </w:r>
    </w:p>
    <w:p>
      <w:pPr>
        <w:spacing w:after="0" w:line="96" w:lineRule="exact"/>
        <w:rPr>
          <w:rFonts w:ascii="Times New Roman" w:cs="Times New Roman" w:eastAsia="Times New Roman" w:hAnsi="Times New Roman"/>
          <w:sz w:val="14"/>
          <w:szCs w:val="14"/>
          <w:color w:val="auto"/>
        </w:rPr>
      </w:pPr>
    </w:p>
    <w:p>
      <w:pPr>
        <w:ind w:left="1260" w:right="1079" w:hanging="179"/>
        <w:spacing w:after="0" w:line="281" w:lineRule="auto"/>
        <w:tabs>
          <w:tab w:leader="none" w:pos="126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assimilation of operations, intellectual property and products of an acquired company, including difficulties associated with integrating new personnel;</w:t>
      </w:r>
    </w:p>
    <w:p>
      <w:pPr>
        <w:spacing w:after="0" w:line="30" w:lineRule="exact"/>
        <w:rPr>
          <w:rFonts w:ascii="Times New Roman" w:cs="Times New Roman" w:eastAsia="Times New Roman" w:hAnsi="Times New Roman"/>
          <w:sz w:val="14"/>
          <w:szCs w:val="14"/>
          <w:color w:val="auto"/>
        </w:rPr>
      </w:pPr>
    </w:p>
    <w:p>
      <w:pPr>
        <w:ind w:left="1260" w:right="959" w:hanging="179"/>
        <w:spacing w:after="0" w:line="281" w:lineRule="auto"/>
        <w:tabs>
          <w:tab w:leader="none" w:pos="126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the diversion of our management’s attention from our existing product programs and initiatives in pursuing a strategic transaction;</w:t>
      </w:r>
    </w:p>
    <w:p>
      <w:pPr>
        <w:spacing w:after="0" w:line="30"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retention of key employees, the loss of key personnel and uncertainties in our ability to maintain key business relationships;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7" w:name="page68"/>
    <w:bookmarkEnd w:id="6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1019" w:hanging="179"/>
        <w:spacing w:after="0" w:line="260" w:lineRule="auto"/>
        <w:tabs>
          <w:tab w:leader="none" w:pos="1260"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4"/>
          <w:szCs w:val="14"/>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45" w:lineRule="exact"/>
        <w:rPr>
          <w:rFonts w:ascii="Times New Roman" w:cs="Times New Roman" w:eastAsia="Times New Roman" w:hAnsi="Times New Roman"/>
          <w:sz w:val="14"/>
          <w:szCs w:val="14"/>
          <w:color w:val="auto"/>
        </w:rPr>
      </w:pPr>
    </w:p>
    <w:p>
      <w:pPr>
        <w:ind w:left="1260" w:right="1119" w:hanging="179"/>
        <w:spacing w:after="0" w:line="281" w:lineRule="auto"/>
        <w:tabs>
          <w:tab w:leader="none" w:pos="1260"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4"/>
          <w:szCs w:val="14"/>
          <w:color w:val="auto"/>
        </w:rPr>
        <w:t>our inability to generate revenue from acquired technology or products sufficient to meet our objectives in undertaking the acquisition or even to offset the associated acquisition and maintenance costs.</w:t>
      </w:r>
    </w:p>
    <w:p>
      <w:pPr>
        <w:spacing w:after="0" w:line="30"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If we engage in a disposition, we may have difficulty replacing the assets we sold or in separating our continuing operations from those of the business we sold. Any future acquisitions also could result in the incurrence of debt, contingent liabilities or future write -offs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57"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42" w:lineRule="exact"/>
        <w:rPr>
          <w:sz w:val="20"/>
          <w:szCs w:val="20"/>
          <w:color w:val="auto"/>
        </w:rPr>
      </w:pPr>
    </w:p>
    <w:p>
      <w:pPr>
        <w:ind w:left="640" w:right="799"/>
        <w:spacing w:after="0" w:line="288" w:lineRule="auto"/>
        <w:rPr>
          <w:sz w:val="20"/>
          <w:szCs w:val="20"/>
          <w:color w:val="auto"/>
        </w:rPr>
      </w:pPr>
      <w:r>
        <w:rPr>
          <w:rFonts w:ascii="Arial" w:cs="Arial" w:eastAsia="Arial" w:hAnsi="Arial"/>
          <w:sz w:val="14"/>
          <w:szCs w:val="14"/>
          <w:b w:val="1"/>
          <w:bCs w:val="1"/>
          <w:i w:val="1"/>
          <w:iCs w:val="1"/>
          <w:color w:val="auto"/>
        </w:rPr>
        <w:t>Sales of a substantial number of shares of our common stock by our existing stockholders in the public market could cause our stock price to fall.</w:t>
      </w:r>
    </w:p>
    <w:p>
      <w:pPr>
        <w:spacing w:after="0" w:line="20" w:lineRule="exact"/>
        <w:rPr>
          <w:sz w:val="20"/>
          <w:szCs w:val="20"/>
          <w:color w:val="auto"/>
        </w:rPr>
      </w:pPr>
    </w:p>
    <w:p>
      <w:pPr>
        <w:ind w:left="640" w:right="679" w:firstLine="443"/>
        <w:spacing w:after="0" w:line="261"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44"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Based on 294,461,725 shares of our common stock outstanding as of December 31, 2025, including 1,618,376 shares of unvested restricted common stock, after giving effect to (i) the conversion of all outstanding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and (iii) the automatic conversion of all outstanding shares of our non-voting common stock into an aggregate of 81,240 shares of our common stock upon the closing of this offering, we will have outstanding a total of        shares of our common stock, assuming no exercise of the underwriters’ option to purchase additional shares and no exercise of outstanding options or other securities subsequent to such date. The         shares of our common stock sold in this offering by us, plus any shares sold upon exercise of the underwriters’ option to purchase additional shares, will (unless they are purchased by one of our affiliates) be freely tradable, without restriction, in the public market immediately following this offering.</w:t>
      </w:r>
    </w:p>
    <w:p>
      <w:pPr>
        <w:spacing w:after="0" w:line="57"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Our directors and executive officers and holders of substantially all of our outstanding securities have entered into lock-up agreements with the underwriters pursuant to which they may not, with certain exceptions, for a period of 180 days from the date of this prospectus, offer, sell or otherwise transfer or dispose of any of our securities, without the prior written consent of the representatives of the underwriters. However, the representatives may permit our officers, directors and other security holders who are subject to the lock-up agreements to sell shares prior to the expiration of the lock-up agreements at any time in their sole discretion. See the section of this prospectus titled “</w:t>
      </w:r>
      <w:r>
        <w:rPr>
          <w:rFonts w:ascii="Arial" w:cs="Arial" w:eastAsia="Arial" w:hAnsi="Arial"/>
          <w:sz w:val="14"/>
          <w:szCs w:val="14"/>
          <w:i w:val="1"/>
          <w:iCs w:val="1"/>
          <w:color w:val="auto"/>
        </w:rPr>
        <w:t>Underwriting</w:t>
      </w:r>
      <w:r>
        <w:rPr>
          <w:rFonts w:ascii="Arial" w:cs="Arial" w:eastAsia="Arial" w:hAnsi="Arial"/>
          <w:sz w:val="14"/>
          <w:szCs w:val="14"/>
          <w:color w:val="auto"/>
        </w:rPr>
        <w:t>.” Sales of these shares, or perceptions that they will be sold, could cause the trading price of our common stock to decline. After the lock-up agreements expire, an additional         shares of our common stock will be eligible for sale in the public market, of which         shares are held by directors, executive officers and other affiliates and will be subject to volume limitations under Rule 144 under the Securities Act of 1933, as amended, or the Securities Act.</w:t>
      </w:r>
    </w:p>
    <w:p>
      <w:pPr>
        <w:spacing w:after="0" w:line="60" w:lineRule="exact"/>
        <w:rPr>
          <w:sz w:val="20"/>
          <w:szCs w:val="20"/>
          <w:color w:val="auto"/>
        </w:rPr>
      </w:pPr>
    </w:p>
    <w:p>
      <w:pPr>
        <w:ind w:left="640" w:right="779" w:firstLine="443"/>
        <w:spacing w:after="0" w:line="250" w:lineRule="auto"/>
        <w:rPr>
          <w:sz w:val="20"/>
          <w:szCs w:val="20"/>
          <w:color w:val="auto"/>
        </w:rPr>
      </w:pPr>
      <w:r>
        <w:rPr>
          <w:rFonts w:ascii="Arial" w:cs="Arial" w:eastAsia="Arial" w:hAnsi="Arial"/>
          <w:sz w:val="14"/>
          <w:szCs w:val="14"/>
          <w:color w:val="auto"/>
        </w:rPr>
        <w:t>In addition, the 45,008,927 shares of our common stock that are subject to outstanding options under the 2021 Plan as of December 31, 2025 will become eligible for sale in the public market after this offering, to the extent permitted by the provisions of various vesting schedules, the lock-up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After this offering, the holders of         shares of our outstanding common stock, or approximately        % of our total outstanding common stock (assuming no exercise of the underwriters’ option to purchase additional shares of our common stock and no exercise of outstanding options or other securities) based on 294,461,725 shares outstanding as of December 31, 2025 (after giving effect to (i) the conversion of all outstanding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and (iii) the automatic conversion of all outstanding shares of our non-voting common stock into an aggregate of 81,240 shares of our common stock upon the closing of this offering), will be entitled to rights with respect to the registration of their shares under the Securities Act, subject to the lock-up agreements described above. See the section of this prospectus titled “</w:t>
      </w:r>
      <w:r>
        <w:rPr>
          <w:rFonts w:ascii="Arial" w:cs="Arial" w:eastAsia="Arial" w:hAnsi="Arial"/>
          <w:sz w:val="14"/>
          <w:szCs w:val="14"/>
          <w:i w:val="1"/>
          <w:iCs w:val="1"/>
          <w:color w:val="auto"/>
        </w:rPr>
        <w:t>Description of Capital Stock—Registration</w:t>
      </w:r>
      <w:r>
        <w:rPr>
          <w:rFonts w:ascii="Arial" w:cs="Arial" w:eastAsia="Arial" w:hAnsi="Arial"/>
          <w:sz w:val="14"/>
          <w:szCs w:val="14"/>
          <w:color w:val="auto"/>
        </w:rPr>
        <w:t xml:space="preserve"> </w:t>
      </w:r>
      <w:r>
        <w:rPr>
          <w:rFonts w:ascii="Arial" w:cs="Arial" w:eastAsia="Arial" w:hAnsi="Arial"/>
          <w:sz w:val="14"/>
          <w:szCs w:val="14"/>
          <w:i w:val="1"/>
          <w:iCs w:val="1"/>
          <w:color w:val="auto"/>
        </w:rPr>
        <w:t>Rights</w:t>
      </w:r>
      <w:r>
        <w:rPr>
          <w:rFonts w:ascii="Arial" w:cs="Arial" w:eastAsia="Arial" w:hAnsi="Arial"/>
          <w:sz w:val="14"/>
          <w:szCs w:val="14"/>
          <w:color w:val="auto"/>
        </w:rPr>
        <w:t>.” Registration of these shares under the Securities Act would result in the shares becoming freely tradable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restriction under the Securities Act. Any sales of securities by these stockholders could adversely affect the trading price of our common stock.</w:t>
      </w:r>
    </w:p>
    <w:p>
      <w:pPr>
        <w:spacing w:after="0" w:line="312" w:lineRule="exact"/>
        <w:rPr>
          <w:sz w:val="20"/>
          <w:szCs w:val="20"/>
          <w:color w:val="auto"/>
        </w:rPr>
      </w:pPr>
    </w:p>
    <w:p>
      <w:pPr>
        <w:ind w:left="640" w:right="1119"/>
        <w:spacing w:after="0" w:line="288" w:lineRule="auto"/>
        <w:rPr>
          <w:sz w:val="20"/>
          <w:szCs w:val="20"/>
          <w:color w:val="auto"/>
        </w:rPr>
      </w:pPr>
      <w:r>
        <w:rPr>
          <w:rFonts w:ascii="Arial" w:cs="Arial" w:eastAsia="Arial" w:hAnsi="Arial"/>
          <w:sz w:val="14"/>
          <w:szCs w:val="14"/>
          <w:b w:val="1"/>
          <w:bCs w:val="1"/>
          <w:i w:val="1"/>
          <w:iCs w:val="1"/>
          <w:color w:val="auto"/>
        </w:rPr>
        <w:t>Conflicts of interest may arise because some members of our board of directors are representatives of our principal stockholders.</w:t>
      </w:r>
    </w:p>
    <w:p>
      <w:pPr>
        <w:spacing w:after="0" w:line="20" w:lineRule="exact"/>
        <w:rPr>
          <w:sz w:val="20"/>
          <w:szCs w:val="20"/>
          <w:color w:val="auto"/>
        </w:rPr>
      </w:pPr>
    </w:p>
    <w:p>
      <w:pPr>
        <w:jc w:val="both"/>
        <w:ind w:left="640" w:right="859" w:firstLine="443"/>
        <w:spacing w:after="0" w:line="254" w:lineRule="auto"/>
        <w:rPr>
          <w:sz w:val="20"/>
          <w:szCs w:val="20"/>
          <w:color w:val="auto"/>
        </w:rPr>
      </w:pPr>
      <w:r>
        <w:rPr>
          <w:rFonts w:ascii="Arial" w:cs="Arial" w:eastAsia="Arial" w:hAnsi="Arial"/>
          <w:sz w:val="14"/>
          <w:szCs w:val="14"/>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137" w:lineRule="exact"/>
        <w:rPr>
          <w:sz w:val="20"/>
          <w:szCs w:val="20"/>
          <w:color w:val="auto"/>
        </w:rPr>
      </w:pPr>
    </w:p>
    <w:p>
      <w:pPr>
        <w:ind w:left="640" w:right="739"/>
        <w:spacing w:after="0" w:line="288" w:lineRule="auto"/>
        <w:rPr>
          <w:sz w:val="20"/>
          <w:szCs w:val="20"/>
          <w:color w:val="auto"/>
        </w:rPr>
      </w:pPr>
      <w:r>
        <w:rPr>
          <w:rFonts w:ascii="Arial" w:cs="Arial" w:eastAsia="Arial" w:hAnsi="Arial"/>
          <w:sz w:val="14"/>
          <w:szCs w:val="14"/>
          <w:b w:val="1"/>
          <w:bCs w:val="1"/>
          <w:i w:val="1"/>
          <w:iCs w:val="1"/>
          <w:color w:val="auto"/>
        </w:rPr>
        <w:t>Our principal stockholders and management own a significant percentage of our common stock and will be able to control matters subject to stockholder approval.</w:t>
      </w:r>
    </w:p>
    <w:p>
      <w:pPr>
        <w:spacing w:after="0" w:line="20" w:lineRule="exact"/>
        <w:rPr>
          <w:sz w:val="20"/>
          <w:szCs w:val="20"/>
          <w:color w:val="auto"/>
        </w:rPr>
      </w:pPr>
    </w:p>
    <w:p>
      <w:pPr>
        <w:ind w:left="640" w:right="739" w:firstLine="443"/>
        <w:spacing w:after="0" w:line="250" w:lineRule="auto"/>
        <w:rPr>
          <w:sz w:val="20"/>
          <w:szCs w:val="20"/>
          <w:color w:val="auto"/>
        </w:rPr>
      </w:pPr>
      <w:r>
        <w:rPr>
          <w:rFonts w:ascii="Arial" w:cs="Arial" w:eastAsia="Arial" w:hAnsi="Arial"/>
          <w:sz w:val="14"/>
          <w:szCs w:val="14"/>
          <w:color w:val="auto"/>
        </w:rPr>
        <w:t>Based on shares of our common stock outstanding as of          , including shares of unvested restricted common stock, after giving effect to (i) the conversion of all shares of our convertible preferred stock into an</w:t>
      </w:r>
    </w:p>
    <w:p>
      <w:pPr>
        <w:spacing w:after="0" w:line="1" w:lineRule="exact"/>
        <w:rPr>
          <w:sz w:val="20"/>
          <w:szCs w:val="20"/>
          <w:color w:val="auto"/>
        </w:rPr>
      </w:pPr>
    </w:p>
    <w:p>
      <w:pPr>
        <w:ind w:left="640" w:right="939"/>
        <w:spacing w:after="0"/>
        <w:rPr>
          <w:sz w:val="20"/>
          <w:szCs w:val="20"/>
          <w:color w:val="auto"/>
        </w:rPr>
      </w:pPr>
      <w:r>
        <w:rPr>
          <w:rFonts w:ascii="Arial" w:cs="Arial" w:eastAsia="Arial" w:hAnsi="Arial"/>
          <w:sz w:val="14"/>
          <w:szCs w:val="14"/>
          <w:color w:val="auto"/>
        </w:rPr>
        <w:t>aggregate of shares of our common stock immediately prior to the closing of this offering, (ii) the automatic exercise of the Common Stock Warrants, on a net exercise basis, into an aggregate of shares of our common</w:t>
      </w:r>
    </w:p>
    <w:p>
      <w:pPr>
        <w:ind w:left="640"/>
        <w:spacing w:after="0"/>
        <w:rPr>
          <w:sz w:val="20"/>
          <w:szCs w:val="20"/>
          <w:color w:val="auto"/>
        </w:rPr>
      </w:pPr>
      <w:r>
        <w:rPr>
          <w:rFonts w:ascii="Arial" w:cs="Arial" w:eastAsia="Arial" w:hAnsi="Arial"/>
          <w:sz w:val="14"/>
          <w:szCs w:val="14"/>
          <w:color w:val="auto"/>
        </w:rPr>
        <w:t>stock immediately prior to the closing of this offering and (iii) the automatic conversion of all outstanding shares of our</w:t>
      </w:r>
    </w:p>
    <w:p>
      <w:pPr>
        <w:ind w:left="640" w:right="659"/>
        <w:spacing w:after="0"/>
        <w:rPr>
          <w:sz w:val="20"/>
          <w:szCs w:val="20"/>
          <w:color w:val="auto"/>
        </w:rPr>
      </w:pPr>
      <w:r>
        <w:rPr>
          <w:rFonts w:ascii="Arial" w:cs="Arial" w:eastAsia="Arial" w:hAnsi="Arial"/>
          <w:sz w:val="14"/>
          <w:szCs w:val="14"/>
          <w:color w:val="auto"/>
        </w:rPr>
        <w:t>non-voting common stock into an aggregate of shares of our common stock upon the closing of this offering, our executive officers, directors and holders of 5% or more of our capital stock beneficially owned approximately           % of our voting stock and, upon the completion of this offering, that same group will beneficially own approximately</w:t>
      </w:r>
    </w:p>
    <w:p>
      <w:pPr>
        <w:ind w:left="640" w:right="699" w:hanging="2"/>
        <w:spacing w:after="0" w:line="243" w:lineRule="auto"/>
        <w:tabs>
          <w:tab w:leader="none" w:pos="783" w:val="left"/>
        </w:tabs>
        <w:numPr>
          <w:ilvl w:val="0"/>
          <w:numId w:val="40"/>
        </w:numPr>
        <w:rPr>
          <w:rFonts w:ascii="Arial" w:cs="Arial" w:eastAsia="Arial" w:hAnsi="Arial"/>
          <w:sz w:val="14"/>
          <w:szCs w:val="14"/>
          <w:color w:val="auto"/>
        </w:rPr>
      </w:pPr>
      <w:r>
        <w:rPr>
          <w:rFonts w:ascii="Arial" w:cs="Arial" w:eastAsia="Arial" w:hAnsi="Arial"/>
          <w:sz w:val="14"/>
          <w:szCs w:val="14"/>
          <w:color w:val="auto"/>
        </w:rPr>
        <w:t>        % of our outstanding voting stock (assuming no exercise of the underwriters’ option to purchase additional shares of our common stock and no exercise of outstanding options or other securities). The interests of these stockholders may not be the same as or may even conflict with your interests. For example, these stockholders could delay or prevent our change of control, even if such a change of control would benefit our other stockholders, which could deprive our stockholders of an opportunity to receive a premium for their common stock as part of a sale of us or of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44" w:lineRule="exact"/>
        <w:rPr>
          <w:sz w:val="20"/>
          <w:szCs w:val="20"/>
          <w:color w:val="auto"/>
        </w:rPr>
      </w:pPr>
    </w:p>
    <w:p>
      <w:pPr>
        <w:ind w:left="640" w:right="779"/>
        <w:spacing w:after="0" w:line="288" w:lineRule="auto"/>
        <w:rPr>
          <w:sz w:val="20"/>
          <w:szCs w:val="20"/>
          <w:color w:val="auto"/>
        </w:rPr>
      </w:pPr>
      <w:r>
        <w:rPr>
          <w:rFonts w:ascii="Arial" w:cs="Arial" w:eastAsia="Arial" w:hAnsi="Arial"/>
          <w:sz w:val="14"/>
          <w:szCs w:val="14"/>
          <w:b w:val="1"/>
          <w:bCs w:val="1"/>
          <w:i w:val="1"/>
          <w:iCs w:val="1"/>
          <w:color w:val="auto"/>
        </w:rPr>
        <w:t>We will incur significant increased costs as a result of operating as a public company, and our management will be required to devote substantial time and resources to new compliance initiatives.</w:t>
      </w:r>
    </w:p>
    <w:p>
      <w:pPr>
        <w:spacing w:after="0" w:line="20" w:lineRule="exact"/>
        <w:rPr>
          <w:sz w:val="20"/>
          <w:szCs w:val="20"/>
          <w:color w:val="auto"/>
        </w:rPr>
      </w:pPr>
    </w:p>
    <w:p>
      <w:pPr>
        <w:ind w:left="640" w:right="699" w:firstLine="443"/>
        <w:spacing w:after="0" w:line="243" w:lineRule="auto"/>
        <w:rPr>
          <w:sz w:val="20"/>
          <w:szCs w:val="20"/>
          <w:color w:val="auto"/>
        </w:rPr>
      </w:pPr>
      <w:r>
        <w:rPr>
          <w:rFonts w:ascii="Arial" w:cs="Arial" w:eastAsia="Arial" w:hAnsi="Arial"/>
          <w:sz w:val="14"/>
          <w:szCs w:val="14"/>
          <w:color w:val="auto"/>
        </w:rPr>
        <w:t>As a public company, we will be subject to the reporting requirements of the Exchange Act,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in order to develop and implement appropriate internal control and reporting procedures, which will increase our costs and expenses.</w:t>
      </w:r>
    </w:p>
    <w:p>
      <w:pPr>
        <w:spacing w:after="0" w:line="59" w:lineRule="exact"/>
        <w:rPr>
          <w:sz w:val="20"/>
          <w:szCs w:val="20"/>
          <w:color w:val="auto"/>
        </w:rPr>
      </w:pPr>
    </w:p>
    <w:p>
      <w:pPr>
        <w:ind w:left="640" w:right="839" w:firstLine="443"/>
        <w:spacing w:after="0" w:line="282"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9" w:name="page70"/>
    <w:bookmarkEnd w:id="6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spacing w:after="0" w:line="244" w:lineRule="auto"/>
        <w:rPr>
          <w:sz w:val="20"/>
          <w:szCs w:val="20"/>
          <w:color w:val="auto"/>
        </w:rPr>
      </w:pPr>
      <w:r>
        <w:rPr>
          <w:rFonts w:ascii="Arial" w:cs="Arial" w:eastAsia="Arial" w:hAnsi="Arial"/>
          <w:sz w:val="14"/>
          <w:szCs w:val="14"/>
          <w:color w:val="auto"/>
        </w:rPr>
        <w:t>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312" w:lineRule="exact"/>
        <w:rPr>
          <w:sz w:val="20"/>
          <w:szCs w:val="20"/>
          <w:color w:val="auto"/>
        </w:rPr>
      </w:pPr>
    </w:p>
    <w:p>
      <w:pPr>
        <w:ind w:left="640" w:right="799"/>
        <w:spacing w:after="0" w:line="288" w:lineRule="auto"/>
        <w:rPr>
          <w:sz w:val="20"/>
          <w:szCs w:val="20"/>
          <w:color w:val="auto"/>
        </w:rPr>
      </w:pPr>
      <w:r>
        <w:rPr>
          <w:rFonts w:ascii="Arial" w:cs="Arial" w:eastAsia="Arial" w:hAnsi="Arial"/>
          <w:sz w:val="14"/>
          <w:szCs w:val="14"/>
          <w:b w:val="1"/>
          <w:bCs w:val="1"/>
          <w:i w:val="1"/>
          <w:iCs w:val="1"/>
          <w:color w:val="auto"/>
        </w:rPr>
        <w:t>Our ability to use our net operating loss, or NOL, carryforwards and certain other tax attributes to offset taxable income or taxes may be limited.</w:t>
      </w:r>
    </w:p>
    <w:p>
      <w:pPr>
        <w:spacing w:after="0" w:line="20" w:lineRule="exact"/>
        <w:rPr>
          <w:sz w:val="20"/>
          <w:szCs w:val="20"/>
          <w:color w:val="auto"/>
        </w:rPr>
      </w:pPr>
    </w:p>
    <w:p>
      <w:pPr>
        <w:ind w:left="640" w:right="679" w:firstLine="443"/>
        <w:spacing w:after="0" w:line="242" w:lineRule="auto"/>
        <w:rPr>
          <w:sz w:val="20"/>
          <w:szCs w:val="20"/>
          <w:color w:val="auto"/>
        </w:rPr>
      </w:pPr>
      <w:r>
        <w:rPr>
          <w:rFonts w:ascii="Arial" w:cs="Arial" w:eastAsia="Arial" w:hAnsi="Arial"/>
          <w:sz w:val="14"/>
          <w:szCs w:val="14"/>
          <w:color w:val="auto"/>
        </w:rPr>
        <w:t>We have incurred substantial losses during our history and do not expect to become profitable in the near future, and we may never achieve profitability. As of December 31, 2025, we had U.S. federal NOL carryforwards of approximately $240.4 million and research and development credits of approximately $16.8 million, and state NOL carryforwards of approximately $171.0 million and research and development credits of approximately $7.4 million. Under the Internal Revenue Code of 1986, as amended, or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increasing the likelihood that there have been changes in our ownership that would limit our ability to utilize our tax attribute carryforwards. Furthermore, there may be additional ownership changes in the future, including in connection with this offering or as a result of subsequent changes in our stock ownership, some of which may be outside of our control. If we have undergone or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our state taxes owed. As a result, even if we attain profitability, we may be unable to use all or a material portion of our NOL carryforwards and other tax attributes, which could adversely affect our future cash flows.</w:t>
      </w:r>
    </w:p>
    <w:p>
      <w:pPr>
        <w:spacing w:after="0" w:line="30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Recent and future changes to tax laws could materially adversely affect us.</w:t>
      </w:r>
    </w:p>
    <w:p>
      <w:pPr>
        <w:spacing w:after="0" w:line="84" w:lineRule="exact"/>
        <w:rPr>
          <w:sz w:val="20"/>
          <w:szCs w:val="20"/>
          <w:color w:val="auto"/>
        </w:rPr>
      </w:pPr>
    </w:p>
    <w:p>
      <w:pPr>
        <w:ind w:left="640" w:right="719" w:firstLine="443"/>
        <w:spacing w:after="0" w:line="243" w:lineRule="auto"/>
        <w:rPr>
          <w:sz w:val="20"/>
          <w:szCs w:val="20"/>
          <w:color w:val="auto"/>
        </w:rPr>
      </w:pPr>
      <w:r>
        <w:rPr>
          <w:rFonts w:ascii="Arial" w:cs="Arial" w:eastAsia="Arial" w:hAnsi="Arial"/>
          <w:sz w:val="14"/>
          <w:szCs w:val="14"/>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Tax Cuts and Jobs Act of 2017, the Coronavirus Aid, Relief, and Economic Security Act, the Inflation Reduction Act of 2022, or the IRA, and the OBBBA enacted many significant changes to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147" w:lineRule="exact"/>
        <w:rPr>
          <w:sz w:val="20"/>
          <w:szCs w:val="20"/>
          <w:color w:val="auto"/>
        </w:rPr>
      </w:pPr>
    </w:p>
    <w:p>
      <w:pPr>
        <w:ind w:left="640" w:right="679"/>
        <w:spacing w:after="0" w:line="264"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36" w:lineRule="exact"/>
        <w:rPr>
          <w:sz w:val="20"/>
          <w:szCs w:val="20"/>
          <w:color w:val="auto"/>
        </w:rPr>
      </w:pPr>
    </w:p>
    <w:p>
      <w:pPr>
        <w:ind w:left="640" w:right="719" w:firstLine="443"/>
        <w:spacing w:after="0" w:line="282" w:lineRule="auto"/>
        <w:rPr>
          <w:sz w:val="20"/>
          <w:szCs w:val="20"/>
          <w:color w:val="auto"/>
        </w:rPr>
      </w:pPr>
      <w:r>
        <w:rPr>
          <w:rFonts w:ascii="Arial" w:cs="Arial" w:eastAsia="Arial" w:hAnsi="Arial"/>
          <w:sz w:val="14"/>
          <w:szCs w:val="14"/>
          <w:color w:val="auto"/>
        </w:rPr>
        <w:t>We are an “emerging growth company” as defined in the JOBS Act. For as long as we continue to be an emerging growth company, we may take advantage of exemptions from various reporting requirements that are applicable to other</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0" w:name="page71"/>
    <w:bookmarkEnd w:id="7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19"/>
        <w:spacing w:after="0" w:line="243" w:lineRule="auto"/>
        <w:rPr>
          <w:sz w:val="20"/>
          <w:szCs w:val="20"/>
          <w:color w:val="auto"/>
        </w:rPr>
      </w:pPr>
      <w:r>
        <w:rPr>
          <w:rFonts w:ascii="Arial" w:cs="Arial" w:eastAsia="Arial" w:hAnsi="Arial"/>
          <w:sz w:val="14"/>
          <w:szCs w:val="14"/>
          <w:color w:val="auto"/>
        </w:rPr>
        <w:t>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this prospectus. 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$700.0 million, measured on the last business day of our second fiscal quarter, or if we have total annual gross revenue of $ 1.235 billion or more during any fiscal year, in which cases we would no longer be an emerging growth company as of the last day of the fiscal year, or if we issue more than $1.0 billion in non-convertible debt during any three-year period before that time, in which case we would no longer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57"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53"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$ 100.0 million during the most recently completed fiscal year and our common stock held by non-affiliates is less than $ 700.0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Our failure to meet Nasdaq’s continued listing requirements could result in a delisting of our common stock.</w:t>
      </w:r>
    </w:p>
    <w:p>
      <w:pPr>
        <w:spacing w:after="0" w:line="84"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If we are approved for listing, and after listing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307" w:lineRule="exact"/>
        <w:rPr>
          <w:sz w:val="20"/>
          <w:szCs w:val="20"/>
          <w:color w:val="auto"/>
        </w:rPr>
      </w:pPr>
    </w:p>
    <w:p>
      <w:pPr>
        <w:ind w:left="640" w:right="899"/>
        <w:spacing w:after="0" w:line="264" w:lineRule="auto"/>
        <w:rPr>
          <w:sz w:val="20"/>
          <w:szCs w:val="20"/>
          <w:color w:val="auto"/>
        </w:rPr>
      </w:pPr>
      <w:r>
        <w:rPr>
          <w:rFonts w:ascii="Arial" w:cs="Arial" w:eastAsia="Arial" w:hAnsi="Arial"/>
          <w:sz w:val="14"/>
          <w:szCs w:val="14"/>
          <w:b w:val="1"/>
          <w:bCs w:val="1"/>
          <w:i w:val="1"/>
          <w:iCs w:val="1"/>
          <w:color w:val="auto"/>
        </w:rPr>
        <w:t>Anti-takeover provisions in our organizational documents and under Delaware law could prevent or delay an acquisition of us that may be beneficial to our stockholders, and may prevent attempts by our stockholders to replace or remove our current management.</w:t>
      </w:r>
    </w:p>
    <w:p>
      <w:pPr>
        <w:spacing w:after="0" w:line="36" w:lineRule="exact"/>
        <w:rPr>
          <w:sz w:val="20"/>
          <w:szCs w:val="20"/>
          <w:color w:val="auto"/>
        </w:rPr>
      </w:pPr>
    </w:p>
    <w:p>
      <w:pPr>
        <w:ind w:left="640" w:right="759" w:firstLine="443"/>
        <w:spacing w:after="0" w:line="254" w:lineRule="auto"/>
        <w:rPr>
          <w:sz w:val="20"/>
          <w:szCs w:val="20"/>
          <w:color w:val="auto"/>
        </w:rPr>
      </w:pPr>
      <w:r>
        <w:rPr>
          <w:rFonts w:ascii="Arial" w:cs="Arial" w:eastAsia="Arial" w:hAnsi="Arial"/>
          <w:sz w:val="14"/>
          <w:szCs w:val="14"/>
          <w:color w:val="auto"/>
        </w:rPr>
        <w:t>Each of our Certificate of Incorporation and Bylaws that will be effective immediately prior to the closing of this offering contain provisions that could delay or prevent a change in control of Odyssey.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49" w:lineRule="exact"/>
        <w:rPr>
          <w:sz w:val="20"/>
          <w:szCs w:val="20"/>
          <w:color w:val="auto"/>
        </w:rPr>
      </w:pPr>
    </w:p>
    <w:p>
      <w:pPr>
        <w:ind w:left="1260" w:right="679" w:hanging="179"/>
        <w:spacing w:after="0" w:line="281" w:lineRule="auto"/>
        <w:tabs>
          <w:tab w:leader="none" w:pos="1260"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4"/>
          <w:szCs w:val="14"/>
          <w:color w:val="auto"/>
        </w:rPr>
        <w:t>establish a staggered board of directors divided into three classes serving staggered three-year terms, such that not all members of our board of directors will be elected at one time;</w:t>
      </w:r>
    </w:p>
    <w:p>
      <w:pPr>
        <w:spacing w:after="0" w:line="30"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4"/>
          <w:szCs w:val="14"/>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4"/>
          <w:szCs w:val="14"/>
          <w:color w:val="auto"/>
        </w:rPr>
        <w:t>eliminate the ability of our stockholders to fill vacancies on our board of directors;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1" w:name="page72"/>
    <w:bookmarkEnd w:id="7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959" w:hanging="179"/>
        <w:spacing w:after="0" w:line="281" w:lineRule="auto"/>
        <w:tabs>
          <w:tab w:leader="none" w:pos="126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color w:val="auto"/>
        </w:rPr>
        <w:t>establish advance notice requirements for nominations for election to our board of directors or for proposing matters that can be acted upon by stockholders at our annual stockholder meetings;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color w:val="auto"/>
        </w:rPr>
        <w:t>permit our board of directors to establish the number of directors;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color w:val="auto"/>
        </w:rPr>
        <w:t>provide that our board of directors is expressly authorized to make, alter or repeal our Bylaws;</w:t>
      </w:r>
    </w:p>
    <w:p>
      <w:pPr>
        <w:spacing w:after="0" w:line="96"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color w:val="auto"/>
        </w:rPr>
        <w:t>provide that stockholders can remove directors only for cause and only upon the approval of not less than 66-2/3% of all outstanding shares of our capital stock entitled to vote generally in the election of directors, voting as a single class;</w:t>
      </w:r>
    </w:p>
    <w:p>
      <w:pPr>
        <w:spacing w:after="0" w:line="45" w:lineRule="exact"/>
        <w:rPr>
          <w:rFonts w:ascii="Times New Roman" w:cs="Times New Roman" w:eastAsia="Times New Roman" w:hAnsi="Times New Roman"/>
          <w:sz w:val="14"/>
          <w:szCs w:val="14"/>
          <w:color w:val="auto"/>
        </w:rPr>
      </w:pPr>
    </w:p>
    <w:p>
      <w:pPr>
        <w:ind w:left="1260" w:right="799" w:hanging="179"/>
        <w:spacing w:after="0" w:line="254" w:lineRule="auto"/>
        <w:tabs>
          <w:tab w:leader="none" w:pos="126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color w:val="auto"/>
        </w:rPr>
        <w:t>require the approval of not less than 66-2/3% of all outstanding shares of our capital stock entitled to vote generally in the election of directors, voting as a single class, for a stockholder amendment to our Bylaws (absent approval of our board of directors) and to amend specific provisions of our Certificate of Incorporation; and</w:t>
      </w:r>
    </w:p>
    <w:p>
      <w:pPr>
        <w:spacing w:after="0" w:line="48"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color w:val="auto"/>
        </w:rPr>
        <w:t>specify the jurisdictions in which certain stockholder litigation may be brought.</w:t>
      </w:r>
    </w:p>
    <w:p>
      <w:pPr>
        <w:spacing w:after="0" w:line="96" w:lineRule="exact"/>
        <w:rPr>
          <w:sz w:val="20"/>
          <w:szCs w:val="20"/>
          <w:color w:val="auto"/>
        </w:rPr>
      </w:pPr>
    </w:p>
    <w:p>
      <w:pPr>
        <w:ind w:left="640" w:right="679" w:firstLine="443"/>
        <w:spacing w:after="0" w:line="261" w:lineRule="auto"/>
        <w:rPr>
          <w:sz w:val="20"/>
          <w:szCs w:val="20"/>
          <w:color w:val="auto"/>
        </w:rPr>
      </w:pPr>
      <w:r>
        <w:rPr>
          <w:rFonts w:ascii="Arial" w:cs="Arial" w:eastAsia="Arial" w:hAnsi="Arial"/>
          <w:sz w:val="14"/>
          <w:szCs w:val="14"/>
          <w:color w:val="auto"/>
        </w:rPr>
        <w:t>In addition, Section 203 of General Corporation Law of the State of Delaware, or the DGCL, may discourage, delay or prevent a change in control of us. Section 203 imposes certain restrictions on mergers, business combinations and other transactions between us and holders of 15% or more of our common stock.</w:t>
      </w:r>
    </w:p>
    <w:p>
      <w:pPr>
        <w:spacing w:after="0" w:line="132" w:lineRule="exact"/>
        <w:rPr>
          <w:sz w:val="20"/>
          <w:szCs w:val="20"/>
          <w:color w:val="auto"/>
        </w:rPr>
      </w:pPr>
    </w:p>
    <w:p>
      <w:pPr>
        <w:ind w:left="640" w:right="759"/>
        <w:spacing w:after="0" w:line="264" w:lineRule="auto"/>
        <w:rPr>
          <w:sz w:val="20"/>
          <w:szCs w:val="20"/>
          <w:color w:val="auto"/>
        </w:rPr>
      </w:pPr>
      <w:r>
        <w:rPr>
          <w:rFonts w:ascii="Arial" w:cs="Arial" w:eastAsia="Arial" w:hAnsi="Arial"/>
          <w:sz w:val="14"/>
          <w:szCs w:val="14"/>
          <w:b w:val="1"/>
          <w:bCs w:val="1"/>
          <w:i w:val="1"/>
          <w:iCs w:val="1"/>
          <w:color w:val="auto"/>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36" w:lineRule="exact"/>
        <w:rPr>
          <w:sz w:val="20"/>
          <w:szCs w:val="20"/>
          <w:color w:val="auto"/>
        </w:rPr>
      </w:pPr>
    </w:p>
    <w:p>
      <w:pPr>
        <w:ind w:left="640" w:right="699" w:firstLine="443"/>
        <w:spacing w:after="0" w:line="242" w:lineRule="auto"/>
        <w:rPr>
          <w:sz w:val="20"/>
          <w:szCs w:val="20"/>
          <w:color w:val="auto"/>
        </w:rPr>
      </w:pPr>
      <w:r>
        <w:rPr>
          <w:rFonts w:ascii="Arial" w:cs="Arial" w:eastAsia="Arial" w:hAnsi="Arial"/>
          <w:sz w:val="14"/>
          <w:szCs w:val="14"/>
          <w:color w:val="auto"/>
        </w:rPr>
        <w:t>Our Certificate of Incorporation, to be effective immediately prior to the closing of this offering, will provide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or actions brought by stockholders that do not constitute internal corporate claims under the DGCL, if such claim relates to our business, the conduct of our affairs, or our rights or powers or our stockholders, directors or officers,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 liability created by the Exchange Act. The validity and enforceability of such provision is uncertain in a number of courts other than the Delaware Supreme Court and certain other state courts.</w:t>
      </w:r>
    </w:p>
    <w:p>
      <w:pPr>
        <w:spacing w:after="0" w:line="66"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promulgated thereunder.</w:t>
      </w:r>
    </w:p>
    <w:p>
      <w:pPr>
        <w:spacing w:after="0" w:line="142" w:lineRule="exact"/>
        <w:rPr>
          <w:sz w:val="20"/>
          <w:szCs w:val="20"/>
          <w:color w:val="auto"/>
        </w:rPr>
      </w:pPr>
    </w:p>
    <w:p>
      <w:pPr>
        <w:jc w:val="both"/>
        <w:ind w:left="640" w:right="1179"/>
        <w:spacing w:after="0" w:line="288"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20"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The trading market for our common stock will be influenced in part by the research and reports that industry or securities analysts publish about us or our business. We do not have any control over the industry or securities analysts, or the frequency of or content and opinions included in their reports and may never obtain research coverage by securities and industry analysts. If no or few securities or industry analysts commence coverage of us, or if analysts cease coverage of us or do not publish reports on us on a regular basis,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86"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This prospectus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prospectus,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prospectus include, but are not limited to, statements about:</w:t>
      </w:r>
    </w:p>
    <w:p>
      <w:pPr>
        <w:spacing w:after="0" w:line="57" w:lineRule="exact"/>
        <w:rPr>
          <w:sz w:val="20"/>
          <w:szCs w:val="20"/>
          <w:color w:val="auto"/>
        </w:rPr>
      </w:pPr>
    </w:p>
    <w:p>
      <w:pPr>
        <w:ind w:left="1260" w:right="75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initiation, timing, progress and results of our preclinical studies, clinical trials and research programs for our product candidates, including OD-001 and OD-002;</w:t>
      </w:r>
    </w:p>
    <w:p>
      <w:pPr>
        <w:spacing w:after="0" w:line="30"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beneficial characteristics, safety and efficacy of our product candidates and the potential advantages of our product candidates compared to alternative therapies;</w:t>
      </w:r>
    </w:p>
    <w:p>
      <w:pPr>
        <w:spacing w:after="0" w:line="30"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prevalence of certain diseases and conditions we intend to treat and the size of the market opportunity for our product candidates;</w:t>
      </w:r>
    </w:p>
    <w:p>
      <w:pPr>
        <w:spacing w:after="0" w:line="30"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estimates of the number of patients with certain diseases and conditions we intend to treat and the number of patients that we will enroll in our clinical trials;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timing or likelihood of regulatory filings and approval for our product candidates;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meet future regulatory standards with respect to our product candidates, if approved;</w:t>
      </w:r>
    </w:p>
    <w:p>
      <w:pPr>
        <w:spacing w:after="0" w:line="96" w:lineRule="exact"/>
        <w:rPr>
          <w:rFonts w:ascii="Times New Roman" w:cs="Times New Roman" w:eastAsia="Times New Roman" w:hAnsi="Times New Roman"/>
          <w:sz w:val="14"/>
          <w:szCs w:val="14"/>
          <w:color w:val="auto"/>
        </w:rPr>
      </w:pPr>
    </w:p>
    <w:p>
      <w:pPr>
        <w:ind w:left="1260" w:right="121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plans relating to the further development and manufacturing of our product candidates, including for additional indications that we may pursue;</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rate and degree of market acceptance and therapeutic benefits of our product candidates, if approved;</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develop or partner and progress our current and future product candidates;</w:t>
      </w:r>
    </w:p>
    <w:p>
      <w:pPr>
        <w:spacing w:after="0" w:line="96" w:lineRule="exact"/>
        <w:rPr>
          <w:rFonts w:ascii="Times New Roman" w:cs="Times New Roman" w:eastAsia="Times New Roman" w:hAnsi="Times New Roman"/>
          <w:sz w:val="14"/>
          <w:szCs w:val="14"/>
          <w:color w:val="auto"/>
        </w:rPr>
      </w:pPr>
    </w:p>
    <w:p>
      <w:pPr>
        <w:ind w:left="1260" w:right="127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implementation of our strategic plans for our business, product candidates, research programs and technologies;</w:t>
      </w:r>
    </w:p>
    <w:p>
      <w:pPr>
        <w:spacing w:after="0" w:line="30"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scope of protection we are able to establish and maintain for intellectual property rights covering our product candidates;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anticipated developments related to our competitors and our industry;</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competitive position and the success of competing therapies that are or may become available;</w:t>
      </w:r>
    </w:p>
    <w:p>
      <w:pPr>
        <w:spacing w:after="0" w:line="96" w:lineRule="exact"/>
        <w:rPr>
          <w:rFonts w:ascii="Times New Roman" w:cs="Times New Roman" w:eastAsia="Times New Roman" w:hAnsi="Times New Roman"/>
          <w:sz w:val="14"/>
          <w:szCs w:val="14"/>
          <w:color w:val="auto"/>
        </w:rPr>
      </w:pPr>
    </w:p>
    <w:p>
      <w:pPr>
        <w:ind w:left="1260" w:right="109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maintain our current license agreements and collaborations and identify and enter into future license agreements and collaborations;</w:t>
      </w:r>
    </w:p>
    <w:p>
      <w:pPr>
        <w:spacing w:after="0" w:line="30"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expected potential benefits of strategic collaborations with third parties and our ability to attract collaborators with development, regulatory, manufacturing or commercialization expertise;</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reliance on third parties to conduct clinical trials of or manufacture our product candidates;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plans relating to sales strategy, manufacturing and commercializing our product candidates, if approved;</w:t>
      </w:r>
    </w:p>
    <w:p>
      <w:pPr>
        <w:spacing w:after="0" w:line="96"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anticipated regulatory developments in the United States and foreign countries in which we may seek regulatory approval for our product candidates in the future;</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attract and retain key scientific and management personnel;</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our financial performance;</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of operating as a public company;</w:t>
      </w:r>
    </w:p>
    <w:p>
      <w:pPr>
        <w:spacing w:after="0" w:line="96"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sufficiency of our existing capital resources to fund our future operating expenses and capital expenditure requirements;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3" w:name="page74"/>
    <w:bookmarkEnd w:id="7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879" w:hanging="179"/>
        <w:spacing w:after="0" w:line="281" w:lineRule="auto"/>
        <w:tabs>
          <w:tab w:leader="none" w:pos="1260" w:val="left"/>
        </w:tabs>
        <w:numPr>
          <w:ilvl w:val="0"/>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our expectations regarding the period during which we will qualify as an emerging growth company under the JOBS Act or a smaller reporting company; and</w:t>
      </w:r>
    </w:p>
    <w:p>
      <w:pPr>
        <w:spacing w:after="0" w:line="30" w:lineRule="exact"/>
        <w:rPr>
          <w:rFonts w:ascii="Times New Roman" w:cs="Times New Roman" w:eastAsia="Times New Roman" w:hAnsi="Times New Roman"/>
          <w:sz w:val="14"/>
          <w:szCs w:val="14"/>
          <w:color w:val="auto"/>
        </w:rPr>
      </w:pPr>
    </w:p>
    <w:p>
      <w:pPr>
        <w:ind w:left="1260" w:right="919" w:hanging="179"/>
        <w:spacing w:after="0" w:line="281" w:lineRule="auto"/>
        <w:tabs>
          <w:tab w:leader="none" w:pos="1260" w:val="left"/>
        </w:tabs>
        <w:numPr>
          <w:ilvl w:val="0"/>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our anticipated use of our existing resources and the proceeds from this offering, estimates of our expenses, capital requirements and needs for additional financing.</w:t>
      </w:r>
    </w:p>
    <w:p>
      <w:pPr>
        <w:spacing w:after="0" w:line="30" w:lineRule="exact"/>
        <w:rPr>
          <w:sz w:val="20"/>
          <w:szCs w:val="20"/>
          <w:color w:val="auto"/>
        </w:rPr>
      </w:pPr>
    </w:p>
    <w:p>
      <w:pPr>
        <w:ind w:left="640" w:right="699" w:firstLine="443"/>
        <w:spacing w:after="0" w:line="282" w:lineRule="auto"/>
        <w:rPr>
          <w:sz w:val="20"/>
          <w:szCs w:val="20"/>
          <w:color w:val="auto"/>
        </w:rPr>
      </w:pPr>
      <w:r>
        <w:rPr>
          <w:rFonts w:ascii="Arial" w:cs="Arial" w:eastAsia="Arial" w:hAnsi="Arial"/>
          <w:sz w:val="14"/>
          <w:szCs w:val="14"/>
          <w:color w:val="auto"/>
        </w:rPr>
        <w:t>We caution you that the forward-looking statements highlighted above do not encompass all of the forward-looking statements made in this prospectus.</w:t>
      </w:r>
    </w:p>
    <w:p>
      <w:pPr>
        <w:spacing w:after="0" w:line="30" w:lineRule="exact"/>
        <w:rPr>
          <w:sz w:val="20"/>
          <w:szCs w:val="20"/>
          <w:color w:val="auto"/>
        </w:rPr>
      </w:pPr>
    </w:p>
    <w:p>
      <w:pPr>
        <w:ind w:left="640" w:right="779" w:firstLine="443"/>
        <w:spacing w:after="0" w:line="245" w:lineRule="auto"/>
        <w:rPr>
          <w:sz w:val="20"/>
          <w:szCs w:val="20"/>
          <w:color w:val="auto"/>
        </w:rPr>
      </w:pPr>
      <w:r>
        <w:rPr>
          <w:rFonts w:ascii="Arial" w:cs="Arial" w:eastAsia="Arial" w:hAnsi="Arial"/>
          <w:sz w:val="14"/>
          <w:szCs w:val="14"/>
          <w:color w:val="auto"/>
        </w:rPr>
        <w:t>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prospectus titled “</w:t>
      </w:r>
      <w:r>
        <w:rPr>
          <w:rFonts w:ascii="Arial" w:cs="Arial" w:eastAsia="Arial" w:hAnsi="Arial"/>
          <w:sz w:val="14"/>
          <w:szCs w:val="14"/>
          <w:i w:val="1"/>
          <w:iCs w:val="1"/>
          <w:color w:val="auto"/>
        </w:rPr>
        <w:t>Risk Factors</w:t>
      </w:r>
      <w:r>
        <w:rPr>
          <w:rFonts w:ascii="Arial" w:cs="Arial" w:eastAsia="Arial" w:hAnsi="Arial"/>
          <w:sz w:val="14"/>
          <w:szCs w:val="14"/>
          <w:color w:val="auto"/>
        </w:rPr>
        <w:t>” and elsewhere in this prospectus. Moreover, we operate in a very competitive and challenging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57" w:lineRule="exact"/>
        <w:rPr>
          <w:sz w:val="20"/>
          <w:szCs w:val="20"/>
          <w:color w:val="auto"/>
        </w:rPr>
      </w:pPr>
    </w:p>
    <w:p>
      <w:pPr>
        <w:ind w:left="640" w:right="779" w:firstLine="443"/>
        <w:spacing w:after="0" w:line="247" w:lineRule="auto"/>
        <w:rPr>
          <w:sz w:val="20"/>
          <w:szCs w:val="20"/>
          <w:color w:val="auto"/>
        </w:rPr>
      </w:pPr>
      <w:r>
        <w:rPr>
          <w:rFonts w:ascii="Arial" w:cs="Arial" w:eastAsia="Arial" w:hAnsi="Arial"/>
          <w:sz w:val="14"/>
          <w:szCs w:val="14"/>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spacing w:after="0" w:line="54" w:lineRule="exact"/>
        <w:rPr>
          <w:sz w:val="20"/>
          <w:szCs w:val="20"/>
          <w:color w:val="auto"/>
        </w:rPr>
      </w:pPr>
    </w:p>
    <w:p>
      <w:pPr>
        <w:ind w:left="640" w:right="759" w:firstLine="443"/>
        <w:spacing w:after="0" w:line="248"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4" w:name="page75"/>
    <w:bookmarkEnd w:id="7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MARKET, INDUSTRY AND OTHER DATA</w:t>
      </w:r>
    </w:p>
    <w:p>
      <w:pPr>
        <w:spacing w:after="0" w:line="86" w:lineRule="exact"/>
        <w:rPr>
          <w:sz w:val="20"/>
          <w:szCs w:val="20"/>
          <w:color w:val="auto"/>
        </w:rPr>
      </w:pPr>
    </w:p>
    <w:p>
      <w:pPr>
        <w:ind w:left="640" w:right="679" w:firstLine="438"/>
        <w:spacing w:after="0" w:line="242" w:lineRule="auto"/>
        <w:rPr>
          <w:sz w:val="20"/>
          <w:szCs w:val="20"/>
          <w:color w:val="auto"/>
        </w:rPr>
      </w:pPr>
      <w:r>
        <w:rPr>
          <w:rFonts w:ascii="Arial" w:cs="Arial" w:eastAsia="Arial" w:hAnsi="Arial"/>
          <w:sz w:val="14"/>
          <w:szCs w:val="14"/>
          <w:color w:val="auto"/>
        </w:rPr>
        <w:t>Unless otherwise indicated, information contained in this prospectus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 -party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are necessarily subject to a high degree of uncertainty and risk due to a variety of factors, including those described in “</w:t>
      </w:r>
      <w:r>
        <w:rPr>
          <w:rFonts w:ascii="Arial" w:cs="Arial" w:eastAsia="Arial" w:hAnsi="Arial"/>
          <w:sz w:val="14"/>
          <w:szCs w:val="14"/>
          <w:i w:val="1"/>
          <w:iCs w:val="1"/>
          <w:color w:val="auto"/>
        </w:rPr>
        <w:t>Risk Factors</w:t>
      </w:r>
      <w:r>
        <w:rPr>
          <w:rFonts w:ascii="Arial" w:cs="Arial" w:eastAsia="Arial" w:hAnsi="Arial"/>
          <w:sz w:val="14"/>
          <w:szCs w:val="14"/>
          <w:color w:val="auto"/>
        </w:rPr>
        <w:t>” and elsewhere in this prospectus. These and other factors could cause results to differ materially from those expressed in the estimates made by independent third parties and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USE OF PROCEEDS</w:t>
      </w:r>
    </w:p>
    <w:p>
      <w:pPr>
        <w:spacing w:after="0" w:line="86" w:lineRule="exact"/>
        <w:rPr>
          <w:sz w:val="20"/>
          <w:szCs w:val="20"/>
          <w:color w:val="auto"/>
        </w:rPr>
      </w:pPr>
    </w:p>
    <w:p>
      <w:pPr>
        <w:ind w:left="640" w:right="719" w:firstLine="438"/>
        <w:spacing w:after="0" w:line="250" w:lineRule="auto"/>
        <w:rPr>
          <w:sz w:val="20"/>
          <w:szCs w:val="20"/>
          <w:color w:val="auto"/>
        </w:rPr>
      </w:pPr>
      <w:r>
        <w:rPr>
          <w:rFonts w:ascii="Arial" w:cs="Arial" w:eastAsia="Arial" w:hAnsi="Arial"/>
          <w:sz w:val="14"/>
          <w:szCs w:val="14"/>
          <w:color w:val="auto"/>
        </w:rPr>
        <w:t>We estimate that the net proceeds to us from the sale of shares of our common stock in this offering will be approximately $    million (or approximately $    million if the underwriters’ option to purchase additional shares is exercised in full), based upon the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53" w:lineRule="exact"/>
        <w:rPr>
          <w:sz w:val="20"/>
          <w:szCs w:val="20"/>
          <w:color w:val="auto"/>
        </w:rPr>
      </w:pPr>
    </w:p>
    <w:p>
      <w:pPr>
        <w:ind w:left="640" w:right="779" w:firstLine="438"/>
        <w:spacing w:after="0" w:line="247" w:lineRule="auto"/>
        <w:rPr>
          <w:sz w:val="20"/>
          <w:szCs w:val="20"/>
          <w:color w:val="auto"/>
        </w:rPr>
      </w:pPr>
      <w:r>
        <w:rPr>
          <w:rFonts w:ascii="Arial" w:cs="Arial" w:eastAsia="Arial" w:hAnsi="Arial"/>
          <w:sz w:val="14"/>
          <w:szCs w:val="14"/>
          <w:color w:val="auto"/>
        </w:rPr>
        <w:t>Each $1.00 increase (decrease) in the assumed initial public offering price of $     per share would increase (decrease) the net proceeds that we receive from this offering by approximately $    million, assuming that the number of shares offered by us, as set forth on the cover page of this prospectus, remains the same, and after deducting underwriting discounts and commissions and estimated offering expenses payable by us. Similarly, each increase (decrease) of 1.0 million in the number of shares offered by us would increase (decrease) the net proceeds that we receive from this offering by approximately $    million, using the assumed initial public offering price, and after deducting underwriting discounts and commissions and estimated offering expenses payable by us.</w:t>
      </w:r>
    </w:p>
    <w:p>
      <w:pPr>
        <w:spacing w:after="0" w:line="54" w:lineRule="exact"/>
        <w:rPr>
          <w:sz w:val="20"/>
          <w:szCs w:val="20"/>
          <w:color w:val="auto"/>
        </w:rPr>
      </w:pPr>
    </w:p>
    <w:p>
      <w:pPr>
        <w:ind w:left="640" w:right="899" w:firstLine="438"/>
        <w:spacing w:after="0" w:line="282" w:lineRule="auto"/>
        <w:rPr>
          <w:sz w:val="20"/>
          <w:szCs w:val="20"/>
          <w:color w:val="auto"/>
        </w:rPr>
      </w:pPr>
      <w:r>
        <w:rPr>
          <w:rFonts w:ascii="Arial" w:cs="Arial" w:eastAsia="Arial" w:hAnsi="Arial"/>
          <w:sz w:val="14"/>
          <w:szCs w:val="14"/>
          <w:color w:val="auto"/>
        </w:rPr>
        <w:t>We currently intend to use the estimated net proceeds to us from this offering of $    million, together with our existing cash, cash equivalents and marketable securities as follows:</w:t>
      </w:r>
    </w:p>
    <w:p>
      <w:pPr>
        <w:spacing w:after="0" w:line="30" w:lineRule="exact"/>
        <w:rPr>
          <w:sz w:val="20"/>
          <w:szCs w:val="20"/>
          <w:color w:val="auto"/>
        </w:rPr>
      </w:pPr>
    </w:p>
    <w:p>
      <w:pPr>
        <w:jc w:val="both"/>
        <w:ind w:left="1260" w:right="879" w:hanging="179"/>
        <w:spacing w:after="0" w:line="260" w:lineRule="auto"/>
        <w:tabs>
          <w:tab w:leader="none" w:pos="12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approximately $    to advance the clinical development of OD-001, our most advanced product candidate, through 12-week induction readouts from our planned phase 2a combination trial and phase 2b monotherapy trial in ulcerative colitis;</w:t>
      </w:r>
    </w:p>
    <w:p>
      <w:pPr>
        <w:spacing w:after="0" w:line="45" w:lineRule="exact"/>
        <w:rPr>
          <w:sz w:val="20"/>
          <w:szCs w:val="20"/>
          <w:color w:val="auto"/>
        </w:rPr>
      </w:pPr>
    </w:p>
    <w:p>
      <w:pPr>
        <w:ind w:left="1080"/>
        <w:spacing w:after="0"/>
        <w:tabs>
          <w:tab w:leader="none" w:pos="1240" w:val="left"/>
          <w:tab w:leader="none" w:pos="25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 xml:space="preserve">approximately $    </w:t>
        <w:tab/>
        <w:t>to advance our SLC15A4 program through IND-enabling activities and our planned phase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1/2a clinical trial; and</w:t>
      </w:r>
    </w:p>
    <w:p>
      <w:pPr>
        <w:spacing w:after="0" w:line="72" w:lineRule="exact"/>
        <w:rPr>
          <w:sz w:val="20"/>
          <w:szCs w:val="20"/>
          <w:color w:val="auto"/>
        </w:rPr>
      </w:pPr>
    </w:p>
    <w:p>
      <w:pPr>
        <w:ind w:left="1260" w:right="1299" w:hanging="179"/>
        <w:spacing w:after="0" w:line="281" w:lineRule="auto"/>
        <w:tabs>
          <w:tab w:leader="none" w:pos="1260" w:val="left"/>
        </w:tabs>
        <w:numPr>
          <w:ilvl w:val="0"/>
          <w:numId w:val="45"/>
        </w:numPr>
        <w:rPr>
          <w:rFonts w:ascii="Times New Roman" w:cs="Times New Roman" w:eastAsia="Times New Roman" w:hAnsi="Times New Roman"/>
          <w:sz w:val="14"/>
          <w:szCs w:val="14"/>
          <w:color w:val="auto"/>
        </w:rPr>
      </w:pPr>
      <w:r>
        <w:rPr>
          <w:rFonts w:ascii="Arial" w:cs="Arial" w:eastAsia="Arial" w:hAnsi="Arial"/>
          <w:sz w:val="14"/>
          <w:szCs w:val="14"/>
          <w:color w:val="auto"/>
        </w:rPr>
        <w:t>to fund additional discovery, preclinical and clinical activities for disclosed or future programs, enabling capabilities, and for general corporate purposes, working capital and other capital expenditures.</w:t>
      </w:r>
    </w:p>
    <w:p>
      <w:pPr>
        <w:spacing w:after="0" w:line="30" w:lineRule="exact"/>
        <w:rPr>
          <w:sz w:val="20"/>
          <w:szCs w:val="20"/>
          <w:color w:val="auto"/>
        </w:rPr>
      </w:pPr>
    </w:p>
    <w:p>
      <w:pPr>
        <w:ind w:left="640" w:right="679" w:firstLine="438"/>
        <w:spacing w:after="0" w:line="247" w:lineRule="auto"/>
        <w:rPr>
          <w:sz w:val="20"/>
          <w:szCs w:val="20"/>
          <w:color w:val="auto"/>
        </w:rPr>
      </w:pPr>
      <w:r>
        <w:rPr>
          <w:rFonts w:ascii="Arial" w:cs="Arial" w:eastAsia="Arial" w:hAnsi="Arial"/>
          <w:sz w:val="14"/>
          <w:szCs w:val="14"/>
          <w:color w:val="auto"/>
        </w:rPr>
        <w:t>We may also use a portion of the net proceeds to in-license, acquire or invest in new businesses, technology or assets. Although we have no current agreements, commitments or understandings with respect to any such in-license or acquisition, we evaluate these types of opportunities and engage in related discussions with third parties from time to time. We believe, based on our current operating plan, that the net proceeds from this offering, together with our existing cash, cash equivalents and marketable securities, will be sufficient to fund our operations into           . We have based this estimate on assumptions that may prove to be wrong, and we could use our available capital resources sooner than we currently expect. We do not have any committed external source of funds.</w:t>
      </w:r>
    </w:p>
    <w:p>
      <w:pPr>
        <w:spacing w:after="0" w:line="54" w:lineRule="exact"/>
        <w:rPr>
          <w:sz w:val="20"/>
          <w:szCs w:val="20"/>
          <w:color w:val="auto"/>
        </w:rPr>
      </w:pPr>
    </w:p>
    <w:p>
      <w:pPr>
        <w:ind w:left="640" w:right="839" w:firstLine="438"/>
        <w:spacing w:after="0" w:line="254" w:lineRule="auto"/>
        <w:rPr>
          <w:sz w:val="20"/>
          <w:szCs w:val="20"/>
          <w:color w:val="auto"/>
        </w:rPr>
      </w:pPr>
      <w:r>
        <w:rPr>
          <w:rFonts w:ascii="Arial" w:cs="Arial" w:eastAsia="Arial" w:hAnsi="Arial"/>
          <w:sz w:val="14"/>
          <w:szCs w:val="14"/>
          <w:color w:val="auto"/>
        </w:rPr>
        <w:t>This expected use of net proceeds from this offering represents our intentions based on our current plans and business conditions, which could change in the future as our plans and business conditions evolve. As a result, our management will have broad discretion over the uses of the net proceeds from this offering and investors will be relying on the judgement of our management regarding the application of the net proceeds from this offering.</w:t>
      </w:r>
    </w:p>
    <w:p>
      <w:pPr>
        <w:spacing w:after="0" w:line="49" w:lineRule="exact"/>
        <w:rPr>
          <w:sz w:val="20"/>
          <w:szCs w:val="20"/>
          <w:color w:val="auto"/>
        </w:rPr>
      </w:pPr>
    </w:p>
    <w:p>
      <w:pPr>
        <w:ind w:left="640" w:right="739" w:firstLine="438"/>
        <w:spacing w:after="0" w:line="247" w:lineRule="auto"/>
        <w:rPr>
          <w:sz w:val="20"/>
          <w:szCs w:val="20"/>
          <w:color w:val="auto"/>
        </w:rPr>
      </w:pPr>
      <w:r>
        <w:rPr>
          <w:rFonts w:ascii="Arial" w:cs="Arial" w:eastAsia="Arial" w:hAnsi="Arial"/>
          <w:sz w:val="14"/>
          <w:szCs w:val="14"/>
          <w:color w:val="auto"/>
        </w:rPr>
        <w:t>The amounts and timing of our actual expenditures will depend on numerous factors, including the progress of our research and development activities, the timing of patient enrollment and evolving regulatory requirements, the time and cost necessary to conduct our ongoing and planned preclinical studies and clinical trials, the results of our preclinical studies and clinical trials and other factors described in the section of this prospectus titled “</w:t>
      </w:r>
      <w:r>
        <w:rPr>
          <w:rFonts w:ascii="Arial" w:cs="Arial" w:eastAsia="Arial" w:hAnsi="Arial"/>
          <w:sz w:val="14"/>
          <w:szCs w:val="14"/>
          <w:i w:val="1"/>
          <w:iCs w:val="1"/>
          <w:color w:val="auto"/>
        </w:rPr>
        <w:t>Risk Factors</w:t>
      </w:r>
      <w:r>
        <w:rPr>
          <w:rFonts w:ascii="Arial" w:cs="Arial" w:eastAsia="Arial" w:hAnsi="Arial"/>
          <w:sz w:val="14"/>
          <w:szCs w:val="14"/>
          <w:color w:val="auto"/>
        </w:rPr>
        <w:t>,” as well as the amount of cash used in our operations and any unforeseen cash needs. Therefore, our actual expenditures may differ materially from the estimates described above. We may also find it necessary or advisable to use the net proceeds for other purposes.</w:t>
      </w:r>
    </w:p>
    <w:p>
      <w:pPr>
        <w:spacing w:after="0" w:line="54" w:lineRule="exact"/>
        <w:rPr>
          <w:sz w:val="20"/>
          <w:szCs w:val="20"/>
          <w:color w:val="auto"/>
        </w:rPr>
      </w:pPr>
    </w:p>
    <w:p>
      <w:pPr>
        <w:ind w:left="640" w:right="799" w:firstLine="438"/>
        <w:spacing w:after="0" w:line="250" w:lineRule="auto"/>
        <w:rPr>
          <w:sz w:val="20"/>
          <w:szCs w:val="20"/>
          <w:color w:val="auto"/>
        </w:rPr>
      </w:pPr>
      <w:r>
        <w:rPr>
          <w:rFonts w:ascii="Arial" w:cs="Arial" w:eastAsia="Arial" w:hAnsi="Arial"/>
          <w:sz w:val="14"/>
          <w:szCs w:val="14"/>
          <w:color w:val="auto"/>
        </w:rPr>
        <w:t>Pending the use of the proceeds from this offering as described above, we intend to invest the net proceeds from this offering that are not used as described above in available-for-sale, investment-grade, interest-bearing marketable securities. We cannot predict whether the proceeds invested will yield a favorable return. Our management will retain broad discretion in the application of the net proceeds we receive from this offering, and investors will be relying on the judgment of our management regarding the application of the net proceeds.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6" w:name="page77"/>
    <w:bookmarkEnd w:id="7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DIVIDEND POLICY</w:t>
      </w:r>
    </w:p>
    <w:p>
      <w:pPr>
        <w:spacing w:after="0" w:line="86" w:lineRule="exact"/>
        <w:rPr>
          <w:sz w:val="20"/>
          <w:szCs w:val="20"/>
          <w:color w:val="auto"/>
        </w:rPr>
      </w:pPr>
    </w:p>
    <w:p>
      <w:pPr>
        <w:ind w:left="640" w:right="719" w:firstLine="438"/>
        <w:spacing w:after="0" w:line="248" w:lineRule="auto"/>
        <w:rPr>
          <w:sz w:val="20"/>
          <w:szCs w:val="20"/>
          <w:color w:val="auto"/>
        </w:rPr>
      </w:pPr>
      <w:r>
        <w:rPr>
          <w:rFonts w:ascii="Arial" w:cs="Arial" w:eastAsia="Arial" w:hAnsi="Arial"/>
          <w:sz w:val="14"/>
          <w:szCs w:val="14"/>
          <w:color w:val="auto"/>
        </w:rPr>
        <w:t>We have never declared or paid any cash dividends on our capital stock. We do not anticipate declaring or paying, in the foreseeable future, any cash dividends on our capital stock. We intend to retain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subject to applicable laws, after considering our financial condition, results of operations, capital requirements, business prospects and other factors our board of directors or such committee may deem relevant.</w:t>
      </w:r>
    </w:p>
    <w:p>
      <w:pPr>
        <w:spacing w:after="0" w:line="54" w:lineRule="exact"/>
        <w:rPr>
          <w:sz w:val="20"/>
          <w:szCs w:val="20"/>
          <w:color w:val="auto"/>
        </w:rPr>
      </w:pPr>
    </w:p>
    <w:p>
      <w:pPr>
        <w:ind w:left="640" w:right="879" w:firstLine="438"/>
        <w:spacing w:after="0" w:line="282" w:lineRule="auto"/>
        <w:rPr>
          <w:sz w:val="20"/>
          <w:szCs w:val="20"/>
          <w:color w:val="auto"/>
        </w:rPr>
      </w:pPr>
      <w:r>
        <w:rPr>
          <w:rFonts w:ascii="Arial" w:cs="Arial" w:eastAsia="Arial" w:hAnsi="Arial"/>
          <w:sz w:val="14"/>
          <w:szCs w:val="14"/>
          <w:color w:val="auto"/>
        </w:rPr>
        <w:t>In addition, our ability to pay cash dividends on our capital stock in the future may be limited by the terms of any future debt or preferred securities we may issue or any credit facilities we may enter into.</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7" w:name="page78"/>
    <w:bookmarkEnd w:id="7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86" w:lineRule="exact"/>
        <w:rPr>
          <w:sz w:val="20"/>
          <w:szCs w:val="20"/>
          <w:color w:val="auto"/>
        </w:rPr>
      </w:pPr>
    </w:p>
    <w:p>
      <w:pPr>
        <w:ind w:left="640" w:right="679" w:firstLine="443"/>
        <w:spacing w:after="0" w:line="282" w:lineRule="auto"/>
        <w:rPr>
          <w:sz w:val="20"/>
          <w:szCs w:val="20"/>
          <w:color w:val="auto"/>
        </w:rPr>
      </w:pPr>
      <w:r>
        <w:rPr>
          <w:rFonts w:ascii="Arial" w:cs="Arial" w:eastAsia="Arial" w:hAnsi="Arial"/>
          <w:sz w:val="14"/>
          <w:szCs w:val="14"/>
          <w:color w:val="auto"/>
        </w:rPr>
        <w:t>The following table sets forth our cash, cash equivalents and short-term marketable securities and capitalization as of December 31, 2025 as follows:</w:t>
      </w:r>
    </w:p>
    <w:p>
      <w:pPr>
        <w:spacing w:after="0" w:line="30" w:lineRule="exact"/>
        <w:rPr>
          <w:sz w:val="20"/>
          <w:szCs w:val="20"/>
          <w:color w:val="auto"/>
        </w:rPr>
      </w:pPr>
    </w:p>
    <w:p>
      <w:pPr>
        <w:ind w:left="1260" w:hanging="179"/>
        <w:spacing w:after="0"/>
        <w:tabs>
          <w:tab w:leader="none" w:pos="1260" w:val="left"/>
        </w:tabs>
        <w:numPr>
          <w:ilvl w:val="0"/>
          <w:numId w:val="46"/>
        </w:numPr>
        <w:rPr>
          <w:rFonts w:ascii="Times New Roman" w:cs="Times New Roman" w:eastAsia="Times New Roman" w:hAnsi="Times New Roman"/>
          <w:sz w:val="14"/>
          <w:szCs w:val="14"/>
          <w:color w:val="auto"/>
        </w:rPr>
      </w:pPr>
      <w:r>
        <w:rPr>
          <w:rFonts w:ascii="Arial" w:cs="Arial" w:eastAsia="Arial" w:hAnsi="Arial"/>
          <w:sz w:val="14"/>
          <w:szCs w:val="14"/>
          <w:color w:val="auto"/>
        </w:rPr>
        <w:t>on an actual basis;</w:t>
      </w:r>
    </w:p>
    <w:p>
      <w:pPr>
        <w:spacing w:after="0" w:line="96" w:lineRule="exact"/>
        <w:rPr>
          <w:rFonts w:ascii="Times New Roman" w:cs="Times New Roman" w:eastAsia="Times New Roman" w:hAnsi="Times New Roman"/>
          <w:sz w:val="14"/>
          <w:szCs w:val="14"/>
          <w:color w:val="auto"/>
        </w:rPr>
      </w:pPr>
    </w:p>
    <w:p>
      <w:pPr>
        <w:ind w:left="1260" w:right="659" w:hanging="179"/>
        <w:spacing w:after="0" w:line="247" w:lineRule="auto"/>
        <w:tabs>
          <w:tab w:leader="none" w:pos="1260" w:val="left"/>
        </w:tabs>
        <w:numPr>
          <w:ilvl w:val="0"/>
          <w:numId w:val="46"/>
        </w:numPr>
        <w:rPr>
          <w:rFonts w:ascii="Times New Roman" w:cs="Times New Roman" w:eastAsia="Times New Roman" w:hAnsi="Times New Roman"/>
          <w:sz w:val="14"/>
          <w:szCs w:val="14"/>
          <w:color w:val="auto"/>
        </w:rPr>
      </w:pPr>
      <w:r>
        <w:rPr>
          <w:rFonts w:ascii="Arial" w:cs="Arial" w:eastAsia="Arial" w:hAnsi="Arial"/>
          <w:sz w:val="14"/>
          <w:szCs w:val="14"/>
          <w:color w:val="auto"/>
        </w:rPr>
        <w:t>on a pro forma basis to reflect (i) the conversion of all outstanding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(iii) the automatic conversion of all outstanding shares of our non-voting common stock into an aggregate of 81,240 shares of our common stock upon the closing of this offering and (iv) the filing and effectiveness of our Certificate of Incorporation, which will be effective immediately prior to the closing of this offering; and</w:t>
      </w:r>
    </w:p>
    <w:p>
      <w:pPr>
        <w:spacing w:after="0" w:line="53"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46"/>
        </w:numPr>
        <w:rPr>
          <w:rFonts w:ascii="Times New Roman" w:cs="Times New Roman" w:eastAsia="Times New Roman" w:hAnsi="Times New Roman"/>
          <w:sz w:val="14"/>
          <w:szCs w:val="14"/>
          <w:color w:val="auto"/>
        </w:rPr>
      </w:pPr>
      <w:r>
        <w:rPr>
          <w:rFonts w:ascii="Arial" w:cs="Arial" w:eastAsia="Arial" w:hAnsi="Arial"/>
          <w:sz w:val="14"/>
          <w:szCs w:val="14"/>
          <w:color w:val="auto"/>
        </w:rPr>
        <w:t>on a pro forma as adjusted basis to give effect to (i) the pro forma items described immediately above, and (ii)</w:t>
      </w:r>
    </w:p>
    <w:tbl>
      <w:tblPr>
        <w:tblLayout w:type="fixed"/>
        <w:tblInd w:w="640" w:type="dxa"/>
        <w:tblCellMar>
          <w:top w:w="0" w:type="dxa"/>
          <w:left w:w="0" w:type="dxa"/>
          <w:bottom w:w="0" w:type="dxa"/>
          <w:right w:w="0" w:type="dxa"/>
        </w:tblCellMar>
      </w:tblPr>
      <w:tr>
        <w:trPr>
          <w:trHeight w:val="161"/>
        </w:trPr>
        <w:tc>
          <w:tcPr>
            <w:tcW w:w="2260" w:type="dxa"/>
            <w:vAlign w:val="bottom"/>
            <w:gridSpan w:val="2"/>
          </w:tcPr>
          <w:p>
            <w:pPr>
              <w:ind w:left="620"/>
              <w:spacing w:after="0"/>
              <w:rPr>
                <w:sz w:val="20"/>
                <w:szCs w:val="20"/>
                <w:color w:val="auto"/>
              </w:rPr>
            </w:pPr>
            <w:r>
              <w:rPr>
                <w:rFonts w:ascii="Arial" w:cs="Arial" w:eastAsia="Arial" w:hAnsi="Arial"/>
                <w:sz w:val="14"/>
                <w:szCs w:val="14"/>
                <w:color w:val="auto"/>
                <w:w w:val="97"/>
              </w:rPr>
              <w:t>our issuance and sale of </w:t>
            </w:r>
          </w:p>
        </w:tc>
        <w:tc>
          <w:tcPr>
            <w:tcW w:w="48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5000" w:type="dxa"/>
            <w:vAlign w:val="bottom"/>
            <w:gridSpan w:val="8"/>
          </w:tcPr>
          <w:p>
            <w:pPr>
              <w:ind w:left="40"/>
              <w:spacing w:after="0"/>
              <w:rPr>
                <w:sz w:val="20"/>
                <w:szCs w:val="20"/>
                <w:color w:val="auto"/>
              </w:rPr>
            </w:pPr>
            <w:r>
              <w:rPr>
                <w:rFonts w:ascii="Arial" w:cs="Arial" w:eastAsia="Arial" w:hAnsi="Arial"/>
                <w:sz w:val="14"/>
                <w:szCs w:val="14"/>
                <w:color w:val="auto"/>
              </w:rPr>
              <w:t>shares of our common stock in this offering at an assumed initial public</w:t>
            </w:r>
          </w:p>
        </w:tc>
        <w:tc>
          <w:tcPr>
            <w:tcW w:w="0" w:type="dxa"/>
            <w:vAlign w:val="bottom"/>
          </w:tcPr>
          <w:p>
            <w:pPr>
              <w:spacing w:after="0"/>
              <w:rPr>
                <w:sz w:val="1"/>
                <w:szCs w:val="1"/>
                <w:color w:val="auto"/>
              </w:rPr>
            </w:pPr>
          </w:p>
        </w:tc>
      </w:tr>
      <w:tr>
        <w:trPr>
          <w:trHeight w:val="161"/>
        </w:trPr>
        <w:tc>
          <w:tcPr>
            <w:tcW w:w="1960" w:type="dxa"/>
            <w:vAlign w:val="bottom"/>
          </w:tcPr>
          <w:p>
            <w:pPr>
              <w:ind w:left="620"/>
              <w:spacing w:after="0"/>
              <w:rPr>
                <w:sz w:val="20"/>
                <w:szCs w:val="20"/>
                <w:color w:val="auto"/>
              </w:rPr>
            </w:pPr>
            <w:r>
              <w:rPr>
                <w:rFonts w:ascii="Arial" w:cs="Arial" w:eastAsia="Arial" w:hAnsi="Arial"/>
                <w:sz w:val="14"/>
                <w:szCs w:val="14"/>
                <w:color w:val="auto"/>
              </w:rPr>
              <w:t xml:space="preserve">offering price of $    </w:t>
            </w:r>
          </w:p>
        </w:tc>
        <w:tc>
          <w:tcPr>
            <w:tcW w:w="5780" w:type="dxa"/>
            <w:vAlign w:val="bottom"/>
            <w:gridSpan w:val="10"/>
          </w:tcPr>
          <w:p>
            <w:pPr>
              <w:ind w:left="60"/>
              <w:spacing w:after="0"/>
              <w:rPr>
                <w:sz w:val="20"/>
                <w:szCs w:val="20"/>
                <w:color w:val="auto"/>
              </w:rPr>
            </w:pPr>
            <w:r>
              <w:rPr>
                <w:rFonts w:ascii="Arial" w:cs="Arial" w:eastAsia="Arial" w:hAnsi="Arial"/>
                <w:sz w:val="14"/>
                <w:szCs w:val="14"/>
                <w:color w:val="auto"/>
              </w:rPr>
              <w:t>per share, the midpoint of the price range set forth on the cover page of this prospectus,</w:t>
            </w:r>
          </w:p>
        </w:tc>
        <w:tc>
          <w:tcPr>
            <w:tcW w:w="0" w:type="dxa"/>
            <w:vAlign w:val="bottom"/>
          </w:tcPr>
          <w:p>
            <w:pPr>
              <w:spacing w:after="0"/>
              <w:rPr>
                <w:sz w:val="1"/>
                <w:szCs w:val="1"/>
                <w:color w:val="auto"/>
              </w:rPr>
            </w:pPr>
          </w:p>
        </w:tc>
      </w:tr>
      <w:tr>
        <w:trPr>
          <w:trHeight w:val="190"/>
        </w:trPr>
        <w:tc>
          <w:tcPr>
            <w:tcW w:w="7740" w:type="dxa"/>
            <w:vAlign w:val="bottom"/>
            <w:gridSpan w:val="11"/>
          </w:tcPr>
          <w:p>
            <w:pPr>
              <w:ind w:left="620"/>
              <w:spacing w:after="0"/>
              <w:rPr>
                <w:sz w:val="20"/>
                <w:szCs w:val="20"/>
                <w:color w:val="auto"/>
              </w:rPr>
            </w:pPr>
            <w:r>
              <w:rPr>
                <w:rFonts w:ascii="Arial" w:cs="Arial" w:eastAsia="Arial" w:hAnsi="Arial"/>
                <w:sz w:val="14"/>
                <w:szCs w:val="14"/>
                <w:color w:val="auto"/>
              </w:rPr>
              <w:t>after deducting underwriting discounts and commissions and estimated offering expenses payable by us.</w:t>
            </w:r>
          </w:p>
        </w:tc>
        <w:tc>
          <w:tcPr>
            <w:tcW w:w="0" w:type="dxa"/>
            <w:vAlign w:val="bottom"/>
          </w:tcPr>
          <w:p>
            <w:pPr>
              <w:spacing w:after="0"/>
              <w:rPr>
                <w:sz w:val="1"/>
                <w:szCs w:val="1"/>
                <w:color w:val="auto"/>
              </w:rPr>
            </w:pPr>
          </w:p>
        </w:tc>
      </w:tr>
      <w:tr>
        <w:trPr>
          <w:trHeight w:val="427"/>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940"/>
              <w:spacing w:after="0"/>
              <w:rPr>
                <w:sz w:val="20"/>
                <w:szCs w:val="20"/>
                <w:color w:val="auto"/>
              </w:rPr>
            </w:pPr>
            <w:r>
              <w:rPr>
                <w:rFonts w:ascii="Arial" w:cs="Arial" w:eastAsia="Arial" w:hAnsi="Arial"/>
                <w:sz w:val="11"/>
                <w:szCs w:val="11"/>
                <w:b w:val="1"/>
                <w:bCs w:val="1"/>
                <w:color w:val="auto"/>
              </w:rPr>
              <w:t>As of December 31, 2025</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gridSpan w:val="3"/>
          </w:tcPr>
          <w:p>
            <w:pPr>
              <w:jc w:val="center"/>
              <w:ind w:right="260"/>
              <w:spacing w:after="0" w:line="99" w:lineRule="exact"/>
              <w:rPr>
                <w:sz w:val="20"/>
                <w:szCs w:val="20"/>
                <w:color w:val="auto"/>
              </w:rPr>
            </w:pPr>
            <w:r>
              <w:rPr>
                <w:rFonts w:ascii="Arial" w:cs="Arial" w:eastAsia="Arial" w:hAnsi="Arial"/>
                <w:sz w:val="11"/>
                <w:szCs w:val="11"/>
                <w:b w:val="1"/>
                <w:bCs w:val="1"/>
                <w:color w:val="auto"/>
              </w:rPr>
              <w:t>Pro</w:t>
            </w:r>
          </w:p>
        </w:tc>
        <w:tc>
          <w:tcPr>
            <w:tcW w:w="1120" w:type="dxa"/>
            <w:vAlign w:val="bottom"/>
          </w:tcPr>
          <w:p>
            <w:pPr>
              <w:jc w:val="center"/>
              <w:ind w:right="138"/>
              <w:spacing w:after="0" w:line="99" w:lineRule="exact"/>
              <w:rPr>
                <w:sz w:val="20"/>
                <w:szCs w:val="20"/>
                <w:color w:val="auto"/>
              </w:rPr>
            </w:pPr>
            <w:r>
              <w:rPr>
                <w:rFonts w:ascii="Arial" w:cs="Arial" w:eastAsia="Arial" w:hAnsi="Arial"/>
                <w:sz w:val="11"/>
                <w:szCs w:val="11"/>
                <w:b w:val="1"/>
                <w:bCs w:val="1"/>
                <w:color w:val="auto"/>
              </w:rPr>
              <w:t>Pro Forma As</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Actual</w:t>
            </w:r>
          </w:p>
        </w:tc>
        <w:tc>
          <w:tcPr>
            <w:tcW w:w="6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Forma</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8"/>
              <w:spacing w:after="0" w:line="151" w:lineRule="exact"/>
              <w:rPr>
                <w:sz w:val="20"/>
                <w:szCs w:val="20"/>
                <w:color w:val="auto"/>
              </w:rPr>
            </w:pPr>
            <w:r>
              <w:rPr>
                <w:rFonts w:ascii="Arial" w:cs="Arial" w:eastAsia="Arial" w:hAnsi="Arial"/>
                <w:sz w:val="11"/>
                <w:szCs w:val="11"/>
                <w:b w:val="1"/>
                <w:bCs w:val="1"/>
                <w:color w:val="auto"/>
                <w:w w:val="97"/>
              </w:rPr>
              <w:t>Adjusted</w:t>
            </w:r>
            <w:r>
              <w:rPr>
                <w:rFonts w:ascii="Arial" w:cs="Arial" w:eastAsia="Arial" w:hAnsi="Arial"/>
                <w:sz w:val="15"/>
                <w:szCs w:val="15"/>
                <w:b w:val="1"/>
                <w:bCs w:val="1"/>
                <w:color w:val="auto"/>
                <w:w w:val="97"/>
                <w:vertAlign w:val="superscript"/>
              </w:rPr>
              <w:t>(1)</w:t>
            </w:r>
          </w:p>
        </w:tc>
        <w:tc>
          <w:tcPr>
            <w:tcW w:w="0" w:type="dxa"/>
            <w:vAlign w:val="bottom"/>
          </w:tcPr>
          <w:p>
            <w:pPr>
              <w:spacing w:after="0"/>
              <w:rPr>
                <w:sz w:val="1"/>
                <w:szCs w:val="1"/>
                <w:color w:val="auto"/>
              </w:rPr>
            </w:pPr>
          </w:p>
        </w:tc>
      </w:tr>
      <w:tr>
        <w:trPr>
          <w:trHeight w:val="111"/>
        </w:trPr>
        <w:tc>
          <w:tcPr>
            <w:tcW w:w="1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00" w:type="dxa"/>
            <w:vAlign w:val="bottom"/>
            <w:gridSpan w:val="5"/>
          </w:tcPr>
          <w:p>
            <w:pPr>
              <w:jc w:val="center"/>
              <w:ind w:left="752"/>
              <w:spacing w:after="0" w:line="112" w:lineRule="exact"/>
              <w:rPr>
                <w:sz w:val="20"/>
                <w:szCs w:val="20"/>
                <w:color w:val="auto"/>
              </w:rPr>
            </w:pPr>
            <w:r>
              <w:rPr>
                <w:rFonts w:ascii="Arial" w:cs="Arial" w:eastAsia="Arial" w:hAnsi="Arial"/>
                <w:sz w:val="11"/>
                <w:szCs w:val="11"/>
                <w:b w:val="1"/>
                <w:bCs w:val="1"/>
                <w:color w:val="auto"/>
              </w:rPr>
              <w:t>(in thousands, except share</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120" w:type="dxa"/>
            <w:vAlign w:val="bottom"/>
            <w:gridSpan w:val="5"/>
            <w:vMerge w:val="restart"/>
          </w:tcPr>
          <w:p>
            <w:pPr>
              <w:spacing w:after="0"/>
              <w:rPr>
                <w:sz w:val="20"/>
                <w:szCs w:val="20"/>
                <w:color w:val="auto"/>
              </w:rPr>
            </w:pPr>
            <w:r>
              <w:rPr>
                <w:rFonts w:ascii="Arial" w:cs="Arial" w:eastAsia="Arial" w:hAnsi="Arial"/>
                <w:sz w:val="14"/>
                <w:szCs w:val="14"/>
                <w:color w:val="auto"/>
              </w:rPr>
              <w:t>Cash, cash equivalents and short-term marketable</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and per share data)</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120" w:type="dxa"/>
            <w:vAlign w:val="bottom"/>
            <w:gridSpan w:val="5"/>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216,556</w:t>
            </w:r>
          </w:p>
        </w:tc>
        <w:tc>
          <w:tcPr>
            <w:tcW w:w="6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181,358</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860" w:type="dxa"/>
            <w:vAlign w:val="bottom"/>
            <w:gridSpan w:val="4"/>
          </w:tcPr>
          <w:p>
            <w:pPr>
              <w:spacing w:after="0" w:line="137" w:lineRule="exact"/>
              <w:rPr>
                <w:sz w:val="20"/>
                <w:szCs w:val="20"/>
                <w:color w:val="auto"/>
              </w:rPr>
            </w:pPr>
            <w:r>
              <w:rPr>
                <w:rFonts w:ascii="Arial" w:cs="Arial" w:eastAsia="Arial" w:hAnsi="Arial"/>
                <w:sz w:val="14"/>
                <w:szCs w:val="14"/>
                <w:color w:val="auto"/>
              </w:rPr>
              <w:t>Convertible preferred stock, $0.0001 par value;</w:t>
            </w: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237,268,826 shares authorized, 237,186,132 shares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issued and outstanding, actual; no shares authorized,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issued or outstanding, pro forma and pro forma as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60" w:type="dxa"/>
            <w:vAlign w:val="bottom"/>
          </w:tcPr>
          <w:p>
            <w:pPr>
              <w:ind w:left="120"/>
              <w:spacing w:after="0"/>
              <w:rPr>
                <w:sz w:val="20"/>
                <w:szCs w:val="20"/>
                <w:color w:val="auto"/>
              </w:rPr>
            </w:pPr>
            <w:r>
              <w:rPr>
                <w:rFonts w:ascii="Arial" w:cs="Arial" w:eastAsia="Arial" w:hAnsi="Arial"/>
                <w:sz w:val="14"/>
                <w:szCs w:val="14"/>
                <w:color w:val="auto"/>
              </w:rPr>
              <w:t>adjusted</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703,558</w:t>
            </w: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60" w:type="dxa"/>
            <w:vAlign w:val="bottom"/>
          </w:tcPr>
          <w:p>
            <w:pPr>
              <w:spacing w:after="0"/>
              <w:rPr>
                <w:sz w:val="20"/>
                <w:szCs w:val="20"/>
                <w:color w:val="auto"/>
              </w:rPr>
            </w:pPr>
            <w:r>
              <w:rPr>
                <w:rFonts w:ascii="Arial" w:cs="Arial" w:eastAsia="Arial" w:hAnsi="Arial"/>
                <w:sz w:val="14"/>
                <w:szCs w:val="14"/>
                <w:color w:val="auto"/>
              </w:rPr>
              <w:t>Stockholders’ (deficit) equity:</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spacing w:after="0"/>
              <w:rPr>
                <w:sz w:val="20"/>
                <w:szCs w:val="20"/>
                <w:color w:val="auto"/>
              </w:rPr>
            </w:pPr>
            <w:r>
              <w:rPr>
                <w:rFonts w:ascii="Arial" w:cs="Arial" w:eastAsia="Arial" w:hAnsi="Arial"/>
                <w:sz w:val="14"/>
                <w:szCs w:val="14"/>
                <w:color w:val="auto"/>
              </w:rPr>
              <w:t>Preferred stock, $0.0001 par value; no shares authorized,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gridSpan w:val="2"/>
          </w:tcPr>
          <w:p>
            <w:pPr>
              <w:ind w:left="120"/>
              <w:spacing w:after="0"/>
              <w:rPr>
                <w:sz w:val="20"/>
                <w:szCs w:val="20"/>
                <w:color w:val="auto"/>
              </w:rPr>
            </w:pPr>
            <w:r>
              <w:rPr>
                <w:rFonts w:ascii="Arial" w:cs="Arial" w:eastAsia="Arial" w:hAnsi="Arial"/>
                <w:sz w:val="14"/>
                <w:szCs w:val="14"/>
                <w:color w:val="auto"/>
              </w:rPr>
              <w:t xml:space="preserve">issued or outstanding, actual;     </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      shares authorized,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60" w:type="dxa"/>
            <w:vAlign w:val="bottom"/>
          </w:tcPr>
          <w:p>
            <w:pPr>
              <w:spacing w:after="0"/>
              <w:rPr>
                <w:sz w:val="20"/>
                <w:szCs w:val="20"/>
                <w:color w:val="auto"/>
              </w:rPr>
            </w:pPr>
            <w:r>
              <w:rPr>
                <w:rFonts w:ascii="Arial" w:cs="Arial" w:eastAsia="Arial" w:hAnsi="Arial"/>
                <w:sz w:val="14"/>
                <w:szCs w:val="14"/>
                <w:color w:val="auto"/>
              </w:rPr>
              <w:t xml:space="preserve">       </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pro forma and pro forma as adjusted; no shares issued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and outstanding, pro forma and pro forma as adjusted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spacing w:after="0"/>
              <w:rPr>
                <w:sz w:val="20"/>
                <w:szCs w:val="20"/>
                <w:color w:val="auto"/>
              </w:rPr>
            </w:pPr>
            <w:r>
              <w:rPr>
                <w:rFonts w:ascii="Arial" w:cs="Arial" w:eastAsia="Arial" w:hAnsi="Arial"/>
                <w:sz w:val="14"/>
                <w:szCs w:val="14"/>
                <w:color w:val="auto"/>
              </w:rPr>
              <w:t>Common stock, $0.0001 par value per share; 365,000,000</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shares authorized, 23,320,328 shares issued, 21,701,952</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60" w:type="dxa"/>
            <w:vAlign w:val="bottom"/>
          </w:tcPr>
          <w:p>
            <w:pPr>
              <w:ind w:left="120"/>
              <w:spacing w:after="0"/>
              <w:rPr>
                <w:sz w:val="20"/>
                <w:szCs w:val="20"/>
                <w:color w:val="auto"/>
              </w:rPr>
            </w:pPr>
            <w:r>
              <w:rPr>
                <w:rFonts w:ascii="Arial" w:cs="Arial" w:eastAsia="Arial" w:hAnsi="Arial"/>
                <w:sz w:val="14"/>
                <w:szCs w:val="14"/>
                <w:color w:val="auto"/>
                <w:w w:val="98"/>
              </w:rPr>
              <w:t>shares outstanding, actual;  </w:t>
            </w:r>
          </w:p>
        </w:tc>
        <w:tc>
          <w:tcPr>
            <w:tcW w:w="30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   shares authorized,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pro forma and pro forma as adjusted; 294,461,725 shares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gridSpan w:val="3"/>
          </w:tcPr>
          <w:p>
            <w:pPr>
              <w:ind w:left="120"/>
              <w:spacing w:after="0"/>
              <w:rPr>
                <w:sz w:val="20"/>
                <w:szCs w:val="20"/>
                <w:color w:val="auto"/>
              </w:rPr>
            </w:pPr>
            <w:r>
              <w:rPr>
                <w:rFonts w:ascii="Arial" w:cs="Arial" w:eastAsia="Arial" w:hAnsi="Arial"/>
                <w:sz w:val="14"/>
                <w:szCs w:val="14"/>
                <w:color w:val="auto"/>
                <w:w w:val="99"/>
              </w:rPr>
              <w:t>issued and outstanding, pro forma; and  </w:t>
            </w:r>
          </w:p>
        </w:tc>
        <w:tc>
          <w:tcPr>
            <w:tcW w:w="1380" w:type="dxa"/>
            <w:vAlign w:val="bottom"/>
            <w:gridSpan w:val="2"/>
          </w:tcPr>
          <w:p>
            <w:pPr>
              <w:jc w:val="right"/>
              <w:ind w:right="408"/>
              <w:spacing w:after="0"/>
              <w:rPr>
                <w:sz w:val="20"/>
                <w:szCs w:val="20"/>
                <w:color w:val="auto"/>
              </w:rPr>
            </w:pPr>
            <w:r>
              <w:rPr>
                <w:rFonts w:ascii="Arial" w:cs="Arial" w:eastAsia="Arial" w:hAnsi="Arial"/>
                <w:sz w:val="14"/>
                <w:szCs w:val="14"/>
                <w:color w:val="auto"/>
              </w:rPr>
              <w:t>         shares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5"/>
          </w:tcPr>
          <w:p>
            <w:pPr>
              <w:ind w:left="120"/>
              <w:spacing w:after="0"/>
              <w:rPr>
                <w:sz w:val="20"/>
                <w:szCs w:val="20"/>
                <w:color w:val="auto"/>
              </w:rPr>
            </w:pPr>
            <w:r>
              <w:rPr>
                <w:rFonts w:ascii="Arial" w:cs="Arial" w:eastAsia="Arial" w:hAnsi="Arial"/>
                <w:sz w:val="14"/>
                <w:szCs w:val="14"/>
                <w:color w:val="auto"/>
              </w:rPr>
              <w:t>issued and outstanding, pro forma as adjusted</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79,614</w:t>
            </w:r>
          </w:p>
        </w:tc>
        <w:tc>
          <w:tcPr>
            <w:tcW w:w="1160" w:type="dxa"/>
            <w:vAlign w:val="bottom"/>
          </w:tcPr>
          <w:p>
            <w:pPr>
              <w:jc w:val="right"/>
              <w:spacing w:after="0"/>
              <w:rPr>
                <w:sz w:val="20"/>
                <w:szCs w:val="20"/>
                <w:color w:val="auto"/>
              </w:rPr>
            </w:pPr>
            <w:r>
              <w:rPr>
                <w:rFonts w:ascii="Arial" w:cs="Arial" w:eastAsia="Arial" w:hAnsi="Arial"/>
                <w:sz w:val="14"/>
                <w:szCs w:val="14"/>
                <w:color w:val="auto"/>
              </w:rPr>
              <w:t>783,147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gridSpan w:val="3"/>
          </w:tcPr>
          <w:p>
            <w:pPr>
              <w:spacing w:after="0"/>
              <w:rPr>
                <w:sz w:val="20"/>
                <w:szCs w:val="20"/>
                <w:color w:val="auto"/>
              </w:rPr>
            </w:pPr>
            <w:r>
              <w:rPr>
                <w:rFonts w:ascii="Arial" w:cs="Arial" w:eastAsia="Arial" w:hAnsi="Arial"/>
                <w:sz w:val="14"/>
                <w:szCs w:val="14"/>
                <w:color w:val="auto"/>
              </w:rPr>
              <w:t>Accumulated other comprehensive income</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w:t>
            </w: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(568,139)</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(568,139)</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260" w:type="dxa"/>
            <w:vAlign w:val="bottom"/>
            <w:gridSpan w:val="2"/>
          </w:tcPr>
          <w:p>
            <w:pPr>
              <w:spacing w:after="0" w:line="152" w:lineRule="exact"/>
              <w:rPr>
                <w:sz w:val="20"/>
                <w:szCs w:val="20"/>
                <w:color w:val="auto"/>
              </w:rPr>
            </w:pPr>
            <w:r>
              <w:rPr>
                <w:rFonts w:ascii="Arial" w:cs="Arial" w:eastAsia="Arial" w:hAnsi="Arial"/>
                <w:sz w:val="14"/>
                <w:szCs w:val="14"/>
                <w:color w:val="auto"/>
              </w:rPr>
              <w:t>Total stockholders’ (deficit) equity</w:t>
            </w: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(488,278)</w:t>
            </w:r>
          </w:p>
        </w:tc>
        <w:tc>
          <w:tcPr>
            <w:tcW w:w="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215,280</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line="152" w:lineRule="exact"/>
              <w:rPr>
                <w:sz w:val="20"/>
                <w:szCs w:val="20"/>
                <w:color w:val="auto"/>
              </w:rPr>
            </w:pPr>
            <w:r>
              <w:rPr>
                <w:rFonts w:ascii="Arial" w:cs="Arial" w:eastAsia="Arial" w:hAnsi="Arial"/>
                <w:sz w:val="14"/>
                <w:szCs w:val="14"/>
                <w:color w:val="auto"/>
              </w:rPr>
              <w:t>Total capitalization</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52"/>
              <w:spacing w:after="0" w:line="152" w:lineRule="exact"/>
              <w:rPr>
                <w:sz w:val="20"/>
                <w:szCs w:val="20"/>
                <w:color w:val="auto"/>
              </w:rPr>
            </w:pPr>
            <w:r>
              <w:rPr>
                <w:rFonts w:ascii="Arial" w:cs="Arial" w:eastAsia="Arial" w:hAnsi="Arial"/>
                <w:sz w:val="14"/>
                <w:szCs w:val="14"/>
                <w:color w:val="auto"/>
              </w:rPr>
              <w:t xml:space="preserve">215,280    </w:t>
            </w:r>
          </w:p>
        </w:tc>
        <w:tc>
          <w:tcPr>
            <w:tcW w:w="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215,280</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67945</wp:posOffset>
            </wp:positionV>
            <wp:extent cx="45720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7200" cy="6985"/>
                    </a:xfrm>
                    <a:prstGeom prst="rect">
                      <a:avLst/>
                    </a:prstGeom>
                    <a:noFill/>
                  </pic:spPr>
                </pic:pic>
              </a:graphicData>
            </a:graphic>
          </wp:anchor>
        </w:drawing>
      </w:r>
    </w:p>
    <w:p>
      <w:pPr>
        <w:spacing w:after="0" w:line="116" w:lineRule="exact"/>
        <w:rPr>
          <w:sz w:val="20"/>
          <w:szCs w:val="20"/>
          <w:color w:val="auto"/>
        </w:rPr>
      </w:pPr>
    </w:p>
    <w:p>
      <w:pPr>
        <w:ind w:left="1080" w:right="739" w:hanging="442"/>
        <w:spacing w:after="0" w:line="243" w:lineRule="auto"/>
        <w:tabs>
          <w:tab w:leader="none" w:pos="10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         , the midpoint of the price range set forth on the cover page of this prospectus, would increase (decrease) each of the pro forma as adjusted cash and cash equivalents, additional paid-in capital, total stockholders’ equity and total capitalization by approximately $        , assuming that the number of shares offered by us, as set forth on the cover page of this prospectus, remains the same, after deducting underwriting discounts and commissions and estimated offering expenses payable by us. We may also increase or decrease the number of shares we are offering. An increase (decrease) of 1.0 million in the number of shares we are offering would increase (decrease) each of the pro forma</w:t>
      </w:r>
    </w:p>
    <w:p>
      <w:pPr>
        <w:spacing w:after="0" w:line="1" w:lineRule="exact"/>
        <w:rPr>
          <w:sz w:val="20"/>
          <w:szCs w:val="20"/>
          <w:color w:val="auto"/>
        </w:rPr>
      </w:pPr>
    </w:p>
    <w:p>
      <w:pPr>
        <w:ind w:left="1080" w:right="759"/>
        <w:spacing w:after="0" w:line="247" w:lineRule="auto"/>
        <w:rPr>
          <w:sz w:val="20"/>
          <w:szCs w:val="20"/>
          <w:color w:val="auto"/>
        </w:rPr>
      </w:pPr>
      <w:r>
        <w:rPr>
          <w:rFonts w:ascii="Arial" w:cs="Arial" w:eastAsia="Arial" w:hAnsi="Arial"/>
          <w:sz w:val="14"/>
          <w:szCs w:val="14"/>
          <w:color w:val="auto"/>
        </w:rPr>
        <w:t>as adjusted cash and cash equivalents, additional paid-in capital, total stockholders’ equity and total capitalization by approximately $        , assuming an initial public offering price of $         , the midpoint of the price range set forth on the cover page of this prospectus, after deducting underwriting discounts and commissions and estimated offering expenses payable by us.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The pro forma and pro forma as adjusted information is illustrative only and following the completion of this offering will be adjusted based on the actual initial public offering price and other terms of this offering determined at pricing. You should read this information in conjunction with our financial statements and the related notes included elsewhere in this prospectus, the section of this prospectus titled “</w:t>
      </w:r>
      <w:r>
        <w:rPr>
          <w:rFonts w:ascii="Arial" w:cs="Arial" w:eastAsia="Arial" w:hAnsi="Arial"/>
          <w:sz w:val="14"/>
          <w:szCs w:val="14"/>
          <w:i w:val="1"/>
          <w:iCs w:val="1"/>
          <w:color w:val="auto"/>
        </w:rPr>
        <w:t>Management’s Discussion and Analysis of Financial Condition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Results of Operations</w:t>
      </w:r>
      <w:r>
        <w:rPr>
          <w:rFonts w:ascii="Arial" w:cs="Arial" w:eastAsia="Arial" w:hAnsi="Arial"/>
          <w:sz w:val="14"/>
          <w:szCs w:val="14"/>
          <w:color w:val="auto"/>
        </w:rPr>
        <w:t>” and other financial information contained in this prospectus.</w:t>
      </w:r>
    </w:p>
    <w:p>
      <w:pPr>
        <w:spacing w:after="0" w:line="53" w:lineRule="exact"/>
        <w:rPr>
          <w:sz w:val="20"/>
          <w:szCs w:val="20"/>
          <w:color w:val="auto"/>
        </w:rPr>
      </w:pPr>
    </w:p>
    <w:p>
      <w:pPr>
        <w:ind w:left="640" w:right="779" w:firstLine="443"/>
        <w:spacing w:after="0" w:line="247" w:lineRule="auto"/>
        <w:rPr>
          <w:sz w:val="20"/>
          <w:szCs w:val="20"/>
          <w:color w:val="auto"/>
        </w:rPr>
      </w:pPr>
      <w:r>
        <w:rPr>
          <w:rFonts w:ascii="Arial" w:cs="Arial" w:eastAsia="Arial" w:hAnsi="Arial"/>
          <w:sz w:val="14"/>
          <w:szCs w:val="14"/>
          <w:color w:val="auto"/>
        </w:rPr>
        <w:t>The table set forth above is based on 294,461,725 shares of our common stock outstanding as of December 31, 2025, including 1,618,376 shares of our unvested restricted common stock, after giving effect to (i) the conversion of all outstanding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and (iii) the automatic conversion of all outstanding shares of our non-voting common stock into an aggregate of 81,240 shares of our common stock upon the closing of this offering, and excludes:</w:t>
      </w:r>
    </w:p>
    <w:p>
      <w:pPr>
        <w:spacing w:after="0" w:line="54" w:lineRule="exact"/>
        <w:rPr>
          <w:sz w:val="20"/>
          <w:szCs w:val="20"/>
          <w:color w:val="auto"/>
        </w:rPr>
      </w:pPr>
    </w:p>
    <w:p>
      <w:pPr>
        <w:ind w:left="1260" w:right="1319" w:hanging="179"/>
        <w:spacing w:after="0" w:line="281" w:lineRule="auto"/>
        <w:tabs>
          <w:tab w:leader="none" w:pos="126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45,008,927 shares of our common stock issuable upon the exercise of stock options outstanding as of December 31, 2025, under the 2021 Plan, at a weighted average exercise price of $0.51 per share;</w:t>
      </w:r>
    </w:p>
    <w:p>
      <w:pPr>
        <w:spacing w:after="0" w:line="30"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9,258,555 shares of our common stock reserved for future issuance under the 2021 Plan as of December 31, 2025, which shares will cease to be available for issuance at the time the 2026 Plan becomes effective;</w:t>
      </w:r>
    </w:p>
    <w:p>
      <w:pPr>
        <w:spacing w:after="0" w:line="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6560" w:type="dxa"/>
            <w:vAlign w:val="bottom"/>
          </w:tcPr>
          <w:p>
            <w:pPr>
              <w:ind w:left="60"/>
              <w:spacing w:after="0"/>
              <w:rPr>
                <w:sz w:val="20"/>
                <w:szCs w:val="20"/>
                <w:color w:val="auto"/>
              </w:rPr>
            </w:pPr>
            <w:r>
              <w:rPr>
                <w:rFonts w:ascii="Arial" w:cs="Arial" w:eastAsia="Arial" w:hAnsi="Arial"/>
                <w:sz w:val="14"/>
                <w:szCs w:val="14"/>
                <w:color w:val="auto"/>
              </w:rPr>
              <w:t>shares of our common stock reserved for future issuance under our 2026 Plan, which will become</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effective on the date immediately preceding the date on which our common stock is listed (or approved for</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listing) on Nasdaq, as well as any automatic increases in the number of shares of our common stock reserved</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for future issuance under the 2026 Plan and any shares underlying outstanding stock awards granted under the</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2021 Plan that expire or are repurchased, forfeited, cancelled or withheld, as more fully described in the section</w:t>
            </w:r>
          </w:p>
        </w:tc>
      </w:tr>
      <w:tr>
        <w:trPr>
          <w:trHeight w:val="190"/>
        </w:trPr>
        <w:tc>
          <w:tcPr>
            <w:tcW w:w="120" w:type="dxa"/>
            <w:vAlign w:val="bottom"/>
          </w:tcPr>
          <w:p>
            <w:pPr>
              <w:spacing w:after="0"/>
              <w:rPr>
                <w:sz w:val="16"/>
                <w:szCs w:val="16"/>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of this prospectus titled “</w:t>
            </w:r>
            <w:r>
              <w:rPr>
                <w:rFonts w:ascii="Arial" w:cs="Arial" w:eastAsia="Arial" w:hAnsi="Arial"/>
                <w:sz w:val="14"/>
                <w:szCs w:val="14"/>
                <w:i w:val="1"/>
                <w:iCs w:val="1"/>
                <w:color w:val="auto"/>
              </w:rPr>
              <w:t>Executive Compensation—Equity Benefit Plans</w:t>
            </w:r>
            <w:r>
              <w:rPr>
                <w:rFonts w:ascii="Arial" w:cs="Arial" w:eastAsia="Arial" w:hAnsi="Arial"/>
                <w:sz w:val="14"/>
                <w:szCs w:val="14"/>
                <w:color w:val="auto"/>
              </w:rPr>
              <w:t>”;</w:t>
            </w:r>
          </w:p>
        </w:tc>
      </w:tr>
      <w:tr>
        <w:trPr>
          <w:trHeight w:val="21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6560" w:type="dxa"/>
            <w:vAlign w:val="bottom"/>
          </w:tcPr>
          <w:p>
            <w:pPr>
              <w:ind w:left="60"/>
              <w:spacing w:after="0"/>
              <w:rPr>
                <w:sz w:val="20"/>
                <w:szCs w:val="20"/>
                <w:color w:val="auto"/>
              </w:rPr>
            </w:pPr>
            <w:r>
              <w:rPr>
                <w:rFonts w:ascii="Arial" w:cs="Arial" w:eastAsia="Arial" w:hAnsi="Arial"/>
                <w:sz w:val="14"/>
                <w:szCs w:val="14"/>
                <w:color w:val="auto"/>
              </w:rPr>
              <w:t>shares of common stock reserved for future issuance under the ESPP, which will become effective on</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the date immediately following the date on which our common stock is listed (or approved for listing) on Nasdaq,</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as well as any automatic increases in the number of shares of common stock reserved for future issuance under</w:t>
            </w:r>
          </w:p>
        </w:tc>
      </w:tr>
      <w:tr>
        <w:trPr>
          <w:trHeight w:val="190"/>
        </w:trPr>
        <w:tc>
          <w:tcPr>
            <w:tcW w:w="120" w:type="dxa"/>
            <w:vAlign w:val="bottom"/>
          </w:tcPr>
          <w:p>
            <w:pPr>
              <w:spacing w:after="0"/>
              <w:rPr>
                <w:sz w:val="16"/>
                <w:szCs w:val="16"/>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the ESPP; and</w:t>
            </w:r>
          </w:p>
        </w:tc>
      </w:tr>
    </w:tbl>
    <w:p>
      <w:pPr>
        <w:spacing w:after="0" w:line="57" w:lineRule="exact"/>
        <w:rPr>
          <w:sz w:val="20"/>
          <w:szCs w:val="20"/>
          <w:color w:val="auto"/>
        </w:rPr>
      </w:pPr>
    </w:p>
    <w:p>
      <w:pPr>
        <w:jc w:val="both"/>
        <w:ind w:left="1260" w:right="759" w:hanging="179"/>
        <w:spacing w:after="0" w:line="260" w:lineRule="auto"/>
        <w:tabs>
          <w:tab w:leader="none" w:pos="1260" w:val="left"/>
        </w:tabs>
        <w:numPr>
          <w:ilvl w:val="0"/>
          <w:numId w:val="49"/>
        </w:numPr>
        <w:rPr>
          <w:rFonts w:ascii="Times New Roman" w:cs="Times New Roman" w:eastAsia="Times New Roman" w:hAnsi="Times New Roman"/>
          <w:sz w:val="14"/>
          <w:szCs w:val="14"/>
          <w:color w:val="auto"/>
        </w:rPr>
      </w:pPr>
      <w:r>
        <w:rPr>
          <w:rFonts w:ascii="Arial" w:cs="Arial" w:eastAsia="Arial" w:hAnsi="Arial"/>
          <w:sz w:val="14"/>
          <w:szCs w:val="14"/>
          <w:color w:val="auto"/>
        </w:rPr>
        <w:t>16,928 shares of our common stock issuable upon the exercise of the BOC Warrant as of December 31, 2025, at an exercise price of $ $6.15 per share (after giving effect to the conversion of our convertible preferred stock into common stock).</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9" w:name="page80"/>
    <w:bookmarkEnd w:id="7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DILUTION</w:t>
      </w:r>
    </w:p>
    <w:p>
      <w:pPr>
        <w:spacing w:after="0" w:line="86" w:lineRule="exact"/>
        <w:rPr>
          <w:sz w:val="20"/>
          <w:szCs w:val="20"/>
          <w:color w:val="auto"/>
        </w:rPr>
      </w:pPr>
    </w:p>
    <w:p>
      <w:pPr>
        <w:jc w:val="both"/>
        <w:ind w:left="640" w:right="779" w:firstLine="438"/>
        <w:spacing w:after="0" w:line="261" w:lineRule="auto"/>
        <w:rPr>
          <w:sz w:val="20"/>
          <w:szCs w:val="20"/>
          <w:color w:val="auto"/>
        </w:rPr>
      </w:pPr>
      <w:r>
        <w:rPr>
          <w:rFonts w:ascii="Arial" w:cs="Arial" w:eastAsia="Arial" w:hAnsi="Arial"/>
          <w:sz w:val="14"/>
          <w:szCs w:val="14"/>
          <w:color w:val="auto"/>
        </w:rPr>
        <w:t>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44" w:lineRule="exact"/>
        <w:rPr>
          <w:sz w:val="20"/>
          <w:szCs w:val="20"/>
          <w:color w:val="auto"/>
        </w:rPr>
      </w:pPr>
    </w:p>
    <w:p>
      <w:pPr>
        <w:ind w:left="640" w:right="679" w:firstLine="438"/>
        <w:spacing w:after="0" w:line="244" w:lineRule="auto"/>
        <w:rPr>
          <w:sz w:val="20"/>
          <w:szCs w:val="20"/>
          <w:color w:val="auto"/>
        </w:rPr>
      </w:pPr>
      <w:r>
        <w:rPr>
          <w:rFonts w:ascii="Arial" w:cs="Arial" w:eastAsia="Arial" w:hAnsi="Arial"/>
          <w:sz w:val="14"/>
          <w:szCs w:val="14"/>
          <w:color w:val="auto"/>
        </w:rPr>
        <w:t>As of December 31, 2025, we had a historical net tangible book value of $(502.9) million, or $(23.17) per share of our common stock. Our net tangible book value per share represents our total tangible assets less our total liabilities, deferred offering costs and the carrying value of our convertible preferred stock, all divided by the number of shares of our common stock outstanding on such date. Our pro forma net tangible book value as of December 31, 2025 was $200.6 million, or $0.68 per share. Pro forma net tangible book value per share represents the amount of our net tangible book value divided by the number of shares of our common stock outstanding as of December 31, 2025, after giving effect to (i) the conversion of all outstanding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(iii) the automatic conversion of all outstanding shares of our non-voting common stock into an aggregate of 81,240 shares of our common stock upon the closing of this offering and (iv) the filing and effectiveness of our Certificate of Incorporation, which will be effective immediately prior to the closing of this offering.</w:t>
      </w:r>
    </w:p>
    <w:p>
      <w:pPr>
        <w:spacing w:after="0" w:line="55" w:lineRule="exact"/>
        <w:rPr>
          <w:sz w:val="20"/>
          <w:szCs w:val="20"/>
          <w:color w:val="auto"/>
        </w:rPr>
      </w:pPr>
    </w:p>
    <w:p>
      <w:pPr>
        <w:ind w:left="640" w:right="679" w:firstLine="438"/>
        <w:spacing w:after="0" w:line="245" w:lineRule="auto"/>
        <w:rPr>
          <w:sz w:val="20"/>
          <w:szCs w:val="20"/>
          <w:color w:val="auto"/>
        </w:rPr>
      </w:pPr>
      <w:r>
        <w:rPr>
          <w:rFonts w:ascii="Arial" w:cs="Arial" w:eastAsia="Arial" w:hAnsi="Arial"/>
          <w:sz w:val="14"/>
          <w:szCs w:val="14"/>
          <w:color w:val="auto"/>
        </w:rPr>
        <w:t>After giving further effect to the sale of        shares of our common stock in this offering at an assumed initial public offering price of $     per share, the midpoint of the price range set forth on the cover page of this prospectus, after deducting underwriting discounts and commissions and estimated offering expenses payable by us, our pro forma as adjusted net tangible book value as of December 31, 2025 would have been approximately $    million, or approximately $    per share. This represents an immediate increase in pro forma net tangible book value of $     per share to existing stockholders and an immediate dilution in pro forma net tangible book value of $    per share to new investors purchasing shares of our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per share dilution:</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100" w:type="dxa"/>
            <w:vAlign w:val="bottom"/>
          </w:tcPr>
          <w:p>
            <w:pPr>
              <w:spacing w:after="0"/>
              <w:rPr>
                <w:sz w:val="20"/>
                <w:szCs w:val="20"/>
                <w:color w:val="auto"/>
              </w:rPr>
            </w:pPr>
            <w:r>
              <w:rPr>
                <w:rFonts w:ascii="Arial" w:cs="Arial" w:eastAsia="Arial" w:hAnsi="Arial"/>
                <w:sz w:val="14"/>
                <w:szCs w:val="14"/>
                <w:color w:val="auto"/>
              </w:rPr>
              <w:t>Assumed initial public offering price per share</w:t>
            </w:r>
          </w:p>
        </w:tc>
        <w:tc>
          <w:tcPr>
            <w:tcW w:w="460" w:type="dxa"/>
            <w:vAlign w:val="bottom"/>
          </w:tcPr>
          <w:p>
            <w:pPr>
              <w:spacing w:after="0"/>
              <w:rPr>
                <w:sz w:val="14"/>
                <w:szCs w:val="14"/>
                <w:color w:val="auto"/>
              </w:rPr>
            </w:pPr>
          </w:p>
        </w:tc>
        <w:tc>
          <w:tcPr>
            <w:tcW w:w="2180" w:type="dxa"/>
            <w:vAlign w:val="bottom"/>
            <w:gridSpan w:val="4"/>
          </w:tcPr>
          <w:p>
            <w:pPr>
              <w:jc w:val="right"/>
              <w:ind w:right="1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5100" w:type="dxa"/>
            <w:vAlign w:val="bottom"/>
          </w:tcPr>
          <w:p>
            <w:pPr>
              <w:ind w:left="200"/>
              <w:spacing w:after="0"/>
              <w:rPr>
                <w:sz w:val="20"/>
                <w:szCs w:val="20"/>
                <w:color w:val="auto"/>
              </w:rPr>
            </w:pPr>
            <w:r>
              <w:rPr>
                <w:rFonts w:ascii="Arial" w:cs="Arial" w:eastAsia="Arial" w:hAnsi="Arial"/>
                <w:sz w:val="14"/>
                <w:szCs w:val="14"/>
                <w:color w:val="auto"/>
              </w:rPr>
              <w:t>Historical net tangible book value per share as of December 31, 2025</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(23.17)</w:t>
            </w: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ind w:left="200"/>
              <w:spacing w:after="0"/>
              <w:rPr>
                <w:sz w:val="20"/>
                <w:szCs w:val="20"/>
                <w:color w:val="auto"/>
              </w:rPr>
            </w:pPr>
            <w:r>
              <w:rPr>
                <w:rFonts w:ascii="Arial" w:cs="Arial" w:eastAsia="Arial" w:hAnsi="Arial"/>
                <w:sz w:val="14"/>
                <w:szCs w:val="14"/>
                <w:color w:val="auto"/>
              </w:rPr>
              <w:t>Increase per share attributable to the pro forma adjustments described</w:t>
            </w:r>
          </w:p>
        </w:tc>
        <w:tc>
          <w:tcPr>
            <w:tcW w:w="460" w:type="dxa"/>
            <w:vAlign w:val="bottom"/>
            <w:vMerge w:val="restart"/>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23.85</w:t>
            </w: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320"/>
              <w:spacing w:after="0"/>
              <w:rPr>
                <w:sz w:val="20"/>
                <w:szCs w:val="20"/>
                <w:color w:val="auto"/>
              </w:rPr>
            </w:pPr>
            <w:r>
              <w:rPr>
                <w:rFonts w:ascii="Arial" w:cs="Arial" w:eastAsia="Arial" w:hAnsi="Arial"/>
                <w:sz w:val="14"/>
                <w:szCs w:val="14"/>
                <w:color w:val="auto"/>
              </w:rPr>
              <w:t>above</w:t>
            </w:r>
          </w:p>
        </w:tc>
        <w:tc>
          <w:tcPr>
            <w:tcW w:w="4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00" w:type="dxa"/>
            <w:vAlign w:val="bottom"/>
          </w:tcPr>
          <w:p>
            <w:pPr>
              <w:ind w:left="200"/>
              <w:spacing w:after="0" w:line="137" w:lineRule="exact"/>
              <w:rPr>
                <w:sz w:val="20"/>
                <w:szCs w:val="20"/>
                <w:color w:val="auto"/>
              </w:rPr>
            </w:pPr>
            <w:r>
              <w:rPr>
                <w:rFonts w:ascii="Arial" w:cs="Arial" w:eastAsia="Arial" w:hAnsi="Arial"/>
                <w:sz w:val="14"/>
                <w:szCs w:val="14"/>
                <w:color w:val="auto"/>
              </w:rPr>
              <w:t>Pro forma net tangible book value per share as of December 31, 2025</w:t>
            </w:r>
          </w:p>
        </w:tc>
        <w:tc>
          <w:tcPr>
            <w:tcW w:w="460" w:type="dxa"/>
            <w:vAlign w:val="bottom"/>
            <w:tcBorders>
              <w:top w:val="single" w:sz="8" w:color="auto"/>
            </w:tcBorders>
          </w:tcPr>
          <w:p>
            <w:pPr>
              <w:jc w:val="right"/>
              <w:ind w:right="308"/>
              <w:spacing w:after="0" w:line="137"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0.68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00" w:type="dxa"/>
            <w:vAlign w:val="bottom"/>
          </w:tcPr>
          <w:p>
            <w:pPr>
              <w:ind w:left="200"/>
              <w:spacing w:after="0"/>
              <w:rPr>
                <w:sz w:val="20"/>
                <w:szCs w:val="20"/>
                <w:color w:val="auto"/>
              </w:rPr>
            </w:pPr>
            <w:r>
              <w:rPr>
                <w:rFonts w:ascii="Arial" w:cs="Arial" w:eastAsia="Arial" w:hAnsi="Arial"/>
                <w:sz w:val="14"/>
                <w:szCs w:val="14"/>
                <w:color w:val="auto"/>
              </w:rPr>
              <w:t>Increase in pro forma net tangible book value per share attributable to this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320"/>
              <w:spacing w:after="0"/>
              <w:rPr>
                <w:sz w:val="20"/>
                <w:szCs w:val="20"/>
                <w:color w:val="auto"/>
              </w:rPr>
            </w:pPr>
            <w:r>
              <w:rPr>
                <w:rFonts w:ascii="Arial" w:cs="Arial" w:eastAsia="Arial" w:hAnsi="Arial"/>
                <w:sz w:val="14"/>
                <w:szCs w:val="14"/>
                <w:color w:val="auto"/>
              </w:rPr>
              <w:t>offering</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00" w:type="dxa"/>
            <w:vAlign w:val="bottom"/>
          </w:tcPr>
          <w:p>
            <w:pPr>
              <w:spacing w:after="0" w:line="137" w:lineRule="exact"/>
              <w:rPr>
                <w:sz w:val="20"/>
                <w:szCs w:val="20"/>
                <w:color w:val="auto"/>
              </w:rPr>
            </w:pPr>
            <w:r>
              <w:rPr>
                <w:rFonts w:ascii="Arial" w:cs="Arial" w:eastAsia="Arial" w:hAnsi="Arial"/>
                <w:sz w:val="14"/>
                <w:szCs w:val="14"/>
                <w:color w:val="auto"/>
              </w:rPr>
              <w:t>Pro forma as adjusted net tangible book value per share immediately after this</w:t>
            </w: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120"/>
              <w:spacing w:after="0"/>
              <w:rPr>
                <w:sz w:val="20"/>
                <w:szCs w:val="20"/>
                <w:color w:val="auto"/>
              </w:rPr>
            </w:pPr>
            <w:r>
              <w:rPr>
                <w:rFonts w:ascii="Arial" w:cs="Arial" w:eastAsia="Arial" w:hAnsi="Arial"/>
                <w:sz w:val="14"/>
                <w:szCs w:val="14"/>
                <w:color w:val="auto"/>
              </w:rPr>
              <w:t>offering</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00" w:type="dxa"/>
            <w:vAlign w:val="bottom"/>
          </w:tcPr>
          <w:p>
            <w:pPr>
              <w:spacing w:after="0" w:line="152" w:lineRule="exact"/>
              <w:rPr>
                <w:sz w:val="20"/>
                <w:szCs w:val="20"/>
                <w:color w:val="auto"/>
              </w:rPr>
            </w:pPr>
            <w:r>
              <w:rPr>
                <w:rFonts w:ascii="Arial" w:cs="Arial" w:eastAsia="Arial" w:hAnsi="Arial"/>
                <w:sz w:val="14"/>
                <w:szCs w:val="14"/>
                <w:color w:val="auto"/>
              </w:rPr>
              <w:t>Dilution per share to investors purchasing common stock in this offering</w:t>
            </w:r>
          </w:p>
        </w:tc>
        <w:tc>
          <w:tcPr>
            <w:tcW w:w="46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12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40" w:right="1059" w:firstLine="443"/>
        <w:spacing w:after="0" w:line="250" w:lineRule="auto"/>
        <w:rPr>
          <w:sz w:val="20"/>
          <w:szCs w:val="20"/>
          <w:color w:val="auto"/>
        </w:rPr>
      </w:pPr>
      <w:r>
        <w:rPr>
          <w:rFonts w:ascii="Arial" w:cs="Arial" w:eastAsia="Arial" w:hAnsi="Arial"/>
          <w:sz w:val="14"/>
          <w:szCs w:val="14"/>
          <w:color w:val="auto"/>
        </w:rPr>
        <w:t>The dilution information discussed above is illustrative only and may change based on the actual initial public offering price and other terms of this offering. Each $1.00 increase in the assumed initial public offering price of $</w:t>
      </w:r>
    </w:p>
    <w:p>
      <w:pPr>
        <w:spacing w:after="0" w:line="1" w:lineRule="exact"/>
        <w:rPr>
          <w:sz w:val="20"/>
          <w:szCs w:val="20"/>
          <w:color w:val="auto"/>
        </w:rPr>
      </w:pPr>
    </w:p>
    <w:p>
      <w:pPr>
        <w:ind w:left="640" w:right="699"/>
        <w:spacing w:after="0" w:line="242" w:lineRule="auto"/>
        <w:rPr>
          <w:sz w:val="20"/>
          <w:szCs w:val="20"/>
          <w:color w:val="auto"/>
        </w:rPr>
      </w:pPr>
      <w:r>
        <w:rPr>
          <w:rFonts w:ascii="Arial" w:cs="Arial" w:eastAsia="Arial" w:hAnsi="Arial"/>
          <w:sz w:val="14"/>
          <w:szCs w:val="14"/>
          <w:color w:val="auto"/>
        </w:rPr>
        <w:t>        per share, the midpoint of the price range set forth on the cover page of this prospectus, would increase our pro forma as adjusted net tangible book value per share after this offering by $        , and would increase dilution per share to new investors in this offering by $        , in each case assuming that the number of shares offered by us, as set forth on the cover page of this prospectus, remains the same and after deducting underwriting discounts and commissions and estimated offering expenses payable by us. Similarly, each increase of 1.0 million in the number of shares offered by us would increase our pro forma as adjusted net tangible book value per share after this offering by approximately $          per share and decrease the dilution to new investors by approximately $          per share, in each case assuming that the assumed initial public offering price remains the same, and after deducting underwriting discounts and commissions and estimated offering expenses payable by us.</w:t>
      </w:r>
    </w:p>
    <w:p>
      <w:pPr>
        <w:spacing w:after="0" w:line="61" w:lineRule="exact"/>
        <w:rPr>
          <w:sz w:val="20"/>
          <w:szCs w:val="20"/>
          <w:color w:val="auto"/>
        </w:rPr>
      </w:pPr>
    </w:p>
    <w:p>
      <w:pPr>
        <w:ind w:left="640" w:right="779" w:firstLine="438"/>
        <w:spacing w:after="0" w:line="250" w:lineRule="auto"/>
        <w:rPr>
          <w:sz w:val="20"/>
          <w:szCs w:val="20"/>
          <w:color w:val="auto"/>
        </w:rPr>
      </w:pPr>
      <w:r>
        <w:rPr>
          <w:rFonts w:ascii="Arial" w:cs="Arial" w:eastAsia="Arial" w:hAnsi="Arial"/>
          <w:sz w:val="14"/>
          <w:szCs w:val="14"/>
          <w:color w:val="auto"/>
        </w:rPr>
        <w:t>Except as otherwise indicated, the above discussion and tables assume no exercise of the underwriters’ option to purchase additional shares. If the underwriters’ option to purchase         additional shares is exercised in full, pro</w:t>
      </w:r>
    </w:p>
    <w:p>
      <w:pPr>
        <w:spacing w:after="0" w:line="1" w:lineRule="exact"/>
        <w:rPr>
          <w:sz w:val="20"/>
          <w:szCs w:val="20"/>
          <w:color w:val="auto"/>
        </w:rPr>
      </w:pPr>
    </w:p>
    <w:p>
      <w:pPr>
        <w:ind w:left="640" w:right="739"/>
        <w:spacing w:after="0"/>
        <w:rPr>
          <w:sz w:val="20"/>
          <w:szCs w:val="20"/>
          <w:color w:val="auto"/>
        </w:rPr>
      </w:pPr>
      <w:r>
        <w:rPr>
          <w:rFonts w:ascii="Arial" w:cs="Arial" w:eastAsia="Arial" w:hAnsi="Arial"/>
          <w:sz w:val="14"/>
          <w:szCs w:val="14"/>
          <w:color w:val="auto"/>
        </w:rPr>
        <w:t>forma as adjusted net tangible book value after this offering would be approximately $          per share, the increase in pro forma net tangible book value per share to existing stockholders would be $          per share and the dilution per share to new investors would be $          per share, in each case assuming an initial public offering price of $</w:t>
      </w:r>
    </w:p>
    <w:p>
      <w:pPr>
        <w:ind w:left="640" w:right="1079"/>
        <w:spacing w:after="0" w:line="261" w:lineRule="auto"/>
        <w:rPr>
          <w:sz w:val="20"/>
          <w:szCs w:val="20"/>
          <w:color w:val="auto"/>
        </w:rPr>
      </w:pPr>
      <w:r>
        <w:rPr>
          <w:rFonts w:ascii="Arial" w:cs="Arial" w:eastAsia="Arial" w:hAnsi="Arial"/>
          <w:sz w:val="14"/>
          <w:szCs w:val="14"/>
          <w:color w:val="auto"/>
        </w:rPr>
        <w:t>          per share, the midpoint of the price range set forth on the cover page of this prospectus, after deducting underwriting discounts and commissions and estimated offering expenses payable by us.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firstLine="438"/>
        <w:spacing w:after="0" w:line="248" w:lineRule="auto"/>
        <w:rPr>
          <w:sz w:val="20"/>
          <w:szCs w:val="20"/>
          <w:color w:val="auto"/>
        </w:rPr>
      </w:pPr>
      <w:r>
        <w:rPr>
          <w:rFonts w:ascii="Arial" w:cs="Arial" w:eastAsia="Arial" w:hAnsi="Arial"/>
          <w:sz w:val="14"/>
          <w:szCs w:val="14"/>
          <w:color w:val="auto"/>
        </w:rPr>
        <w:t>The following table summarizes, on a pro forma as adjusted basis as of December 31, 2025, the differences between the number of shares of our common stock purchased from us, the total consideration paid and the average price per share paid by existing stockholders and to be paid by the new investors purchasing shares of our common stock in this offering, at the assumed initial public offering price of common stock of $             per share, the midpoint of the price range set forth on the cover page of this prospectus, before deducting underwriting discounts and commissions and estimated offering expenses payable by us.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40"/>
        <w:spacing w:after="0" w:line="259" w:lineRule="auto"/>
        <w:rPr>
          <w:sz w:val="20"/>
          <w:szCs w:val="20"/>
          <w:color w:val="auto"/>
        </w:rPr>
      </w:pPr>
      <w:r>
        <w:rPr>
          <w:rFonts w:ascii="Arial" w:cs="Arial" w:eastAsia="Arial" w:hAnsi="Arial"/>
          <w:sz w:val="14"/>
          <w:szCs w:val="14"/>
          <w:color w:val="auto"/>
        </w:rPr>
        <w:t>Existing stockholders before this offering New investors purchasing shares in this offering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43"/>
              <w:spacing w:after="0"/>
              <w:rPr>
                <w:sz w:val="20"/>
                <w:szCs w:val="20"/>
                <w:color w:val="auto"/>
              </w:rPr>
            </w:pPr>
            <w:r>
              <w:rPr>
                <w:rFonts w:ascii="Arial" w:cs="Arial" w:eastAsia="Arial" w:hAnsi="Arial"/>
                <w:sz w:val="11"/>
                <w:szCs w:val="11"/>
                <w:b w:val="1"/>
                <w:bCs w:val="1"/>
                <w:color w:val="auto"/>
              </w:rPr>
              <w:t>Weighted-</w:t>
            </w:r>
          </w:p>
        </w:tc>
      </w:tr>
      <w:tr>
        <w:trPr>
          <w:trHeight w:val="172"/>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43"/>
              <w:spacing w:after="0"/>
              <w:rPr>
                <w:sz w:val="20"/>
                <w:szCs w:val="20"/>
                <w:color w:val="auto"/>
              </w:rPr>
            </w:pPr>
            <w:r>
              <w:rPr>
                <w:rFonts w:ascii="Arial" w:cs="Arial" w:eastAsia="Arial" w:hAnsi="Arial"/>
                <w:sz w:val="11"/>
                <w:szCs w:val="11"/>
                <w:b w:val="1"/>
                <w:bCs w:val="1"/>
                <w:color w:val="auto"/>
              </w:rPr>
              <w:t>Average Price</w:t>
            </w:r>
          </w:p>
        </w:tc>
      </w:tr>
      <w:tr>
        <w:trPr>
          <w:trHeight w:val="174"/>
        </w:trPr>
        <w:tc>
          <w:tcPr>
            <w:tcW w:w="2140" w:type="dxa"/>
            <w:vAlign w:val="bottom"/>
            <w:gridSpan w:val="6"/>
          </w:tcPr>
          <w:p>
            <w:pPr>
              <w:jc w:val="right"/>
              <w:ind w:right="808"/>
              <w:spacing w:after="0"/>
              <w:rPr>
                <w:sz w:val="20"/>
                <w:szCs w:val="20"/>
                <w:color w:val="auto"/>
              </w:rPr>
            </w:pPr>
            <w:r>
              <w:rPr>
                <w:rFonts w:ascii="Arial" w:cs="Arial" w:eastAsia="Arial" w:hAnsi="Arial"/>
                <w:sz w:val="11"/>
                <w:szCs w:val="11"/>
                <w:b w:val="1"/>
                <w:bCs w:val="1"/>
                <w:color w:val="auto"/>
              </w:rPr>
              <w:t>Total Shares</w:t>
            </w:r>
          </w:p>
        </w:tc>
        <w:tc>
          <w:tcPr>
            <w:tcW w:w="1860" w:type="dxa"/>
            <w:vAlign w:val="bottom"/>
            <w:gridSpan w:val="5"/>
          </w:tcPr>
          <w:p>
            <w:pPr>
              <w:jc w:val="right"/>
              <w:ind w:right="468"/>
              <w:spacing w:after="0"/>
              <w:rPr>
                <w:sz w:val="20"/>
                <w:szCs w:val="20"/>
                <w:color w:val="auto"/>
              </w:rPr>
            </w:pPr>
            <w:r>
              <w:rPr>
                <w:rFonts w:ascii="Arial" w:cs="Arial" w:eastAsia="Arial" w:hAnsi="Arial"/>
                <w:sz w:val="11"/>
                <w:szCs w:val="11"/>
                <w:b w:val="1"/>
                <w:bCs w:val="1"/>
                <w:color w:val="auto"/>
              </w:rPr>
              <w:t>Total Consideration</w:t>
            </w:r>
          </w:p>
        </w:tc>
        <w:tc>
          <w:tcPr>
            <w:tcW w:w="860" w:type="dxa"/>
            <w:vAlign w:val="bottom"/>
          </w:tcPr>
          <w:p>
            <w:pPr>
              <w:jc w:val="center"/>
              <w:ind w:right="23"/>
              <w:spacing w:after="0"/>
              <w:rPr>
                <w:sz w:val="20"/>
                <w:szCs w:val="20"/>
                <w:color w:val="auto"/>
              </w:rPr>
            </w:pPr>
            <w:r>
              <w:rPr>
                <w:rFonts w:ascii="Arial" w:cs="Arial" w:eastAsia="Arial" w:hAnsi="Arial"/>
                <w:sz w:val="11"/>
                <w:szCs w:val="11"/>
                <w:b w:val="1"/>
                <w:bCs w:val="1"/>
                <w:color w:val="auto"/>
              </w:rPr>
              <w:t>Per Share</w:t>
            </w:r>
          </w:p>
        </w:tc>
      </w:tr>
      <w:tr>
        <w:trPr>
          <w:trHeight w:val="171"/>
        </w:trPr>
        <w:tc>
          <w:tcPr>
            <w:tcW w:w="880" w:type="dxa"/>
            <w:vAlign w:val="bottom"/>
            <w:tcBorders>
              <w:top w:val="single" w:sz="8" w:color="auto"/>
            </w:tcBorders>
          </w:tcPr>
          <w:p>
            <w:pPr>
              <w:ind w:left="24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Percentage</w:t>
            </w:r>
          </w:p>
        </w:tc>
        <w:tc>
          <w:tcPr>
            <w:tcW w:w="260" w:type="dxa"/>
            <w:vAlign w:val="bottom"/>
            <w:gridSpan w:val="2"/>
          </w:tcPr>
          <w:p>
            <w:pPr>
              <w:spacing w:after="0"/>
              <w:rPr>
                <w:sz w:val="14"/>
                <w:szCs w:val="14"/>
                <w:color w:val="auto"/>
              </w:rPr>
            </w:pP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228"/>
              <w:spacing w:after="0"/>
              <w:rPr>
                <w:sz w:val="20"/>
                <w:szCs w:val="20"/>
                <w:color w:val="auto"/>
              </w:rPr>
            </w:pPr>
            <w:r>
              <w:rPr>
                <w:rFonts w:ascii="Arial" w:cs="Arial" w:eastAsia="Arial" w:hAnsi="Arial"/>
                <w:sz w:val="11"/>
                <w:szCs w:val="11"/>
                <w:b w:val="1"/>
                <w:bCs w:val="1"/>
                <w:color w:val="auto"/>
              </w:rPr>
              <w:t>Percentage</w:t>
            </w:r>
          </w:p>
        </w:tc>
        <w:tc>
          <w:tcPr>
            <w:tcW w:w="860" w:type="dxa"/>
            <w:vAlign w:val="bottom"/>
            <w:tcBorders>
              <w:top w:val="single" w:sz="8" w:color="auto"/>
            </w:tcBorders>
          </w:tcPr>
          <w:p>
            <w:pPr>
              <w:spacing w:after="0"/>
              <w:rPr>
                <w:sz w:val="14"/>
                <w:szCs w:val="14"/>
                <w:color w:val="auto"/>
              </w:rPr>
            </w:pPr>
          </w:p>
        </w:tc>
      </w:tr>
      <w:tr>
        <w:trPr>
          <w:trHeight w:val="181"/>
        </w:trPr>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spacing w:after="0"/>
              <w:rPr>
                <w:sz w:val="15"/>
                <w:szCs w:val="15"/>
                <w:color w:val="auto"/>
              </w:rPr>
            </w:pPr>
          </w:p>
        </w:tc>
      </w:tr>
      <w:tr>
        <w:trPr>
          <w:trHeight w:val="232"/>
        </w:trPr>
        <w:tc>
          <w:tcPr>
            <w:tcW w:w="88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color w:val="auto"/>
              </w:rPr>
              <w:t>%  $</w:t>
            </w:r>
          </w:p>
        </w:tc>
        <w:tc>
          <w:tcPr>
            <w:tcW w:w="72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spacing w:after="0"/>
              <w:rPr>
                <w:sz w:val="20"/>
                <w:szCs w:val="20"/>
                <w:color w:val="auto"/>
              </w:rPr>
            </w:pPr>
          </w:p>
        </w:tc>
      </w:tr>
      <w:tr>
        <w:trPr>
          <w:trHeight w:val="81"/>
        </w:trPr>
        <w:tc>
          <w:tcPr>
            <w:tcW w:w="880" w:type="dxa"/>
            <w:vAlign w:val="bottom"/>
          </w:tcPr>
          <w:p>
            <w:pPr>
              <w:spacing w:after="0"/>
              <w:rPr>
                <w:sz w:val="7"/>
                <w:szCs w:val="7"/>
                <w:color w:val="auto"/>
              </w:rPr>
            </w:pPr>
          </w:p>
        </w:tc>
        <w:tc>
          <w:tcPr>
            <w:tcW w:w="180" w:type="dxa"/>
            <w:vAlign w:val="bottom"/>
            <w:gridSpan w:val="2"/>
          </w:tcPr>
          <w:p>
            <w:pPr>
              <w:spacing w:after="0"/>
              <w:rPr>
                <w:sz w:val="7"/>
                <w:szCs w:val="7"/>
                <w:color w:val="auto"/>
              </w:rPr>
            </w:pPr>
          </w:p>
        </w:tc>
        <w:tc>
          <w:tcPr>
            <w:tcW w:w="1080" w:type="dxa"/>
            <w:vAlign w:val="bottom"/>
            <w:gridSpan w:val="3"/>
          </w:tcPr>
          <w:p>
            <w:pPr>
              <w:spacing w:after="0"/>
              <w:rPr>
                <w:sz w:val="7"/>
                <w:szCs w:val="7"/>
                <w:color w:val="auto"/>
              </w:rPr>
            </w:pPr>
          </w:p>
        </w:tc>
        <w:tc>
          <w:tcPr>
            <w:tcW w:w="720" w:type="dxa"/>
            <w:vAlign w:val="bottom"/>
          </w:tcPr>
          <w:p>
            <w:pPr>
              <w:spacing w:after="0"/>
              <w:rPr>
                <w:sz w:val="7"/>
                <w:szCs w:val="7"/>
                <w:color w:val="auto"/>
              </w:rPr>
            </w:pPr>
          </w:p>
        </w:tc>
        <w:tc>
          <w:tcPr>
            <w:tcW w:w="1140" w:type="dxa"/>
            <w:vAlign w:val="bottom"/>
            <w:gridSpan w:val="4"/>
          </w:tcPr>
          <w:p>
            <w:pPr>
              <w:spacing w:after="0"/>
              <w:rPr>
                <w:sz w:val="7"/>
                <w:szCs w:val="7"/>
                <w:color w:val="auto"/>
              </w:rPr>
            </w:pPr>
          </w:p>
        </w:tc>
        <w:tc>
          <w:tcPr>
            <w:tcW w:w="860" w:type="dxa"/>
            <w:vAlign w:val="bottom"/>
          </w:tcPr>
          <w:p>
            <w:pPr>
              <w:spacing w:after="0"/>
              <w:rPr>
                <w:sz w:val="7"/>
                <w:szCs w:val="7"/>
                <w:color w:val="auto"/>
              </w:rPr>
            </w:pPr>
          </w:p>
        </w:tc>
      </w:tr>
      <w:tr>
        <w:trPr>
          <w:trHeight w:val="153"/>
        </w:trPr>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spacing w:after="0"/>
              <w:rPr>
                <w:sz w:val="13"/>
                <w:szCs w:val="13"/>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-584835</wp:posOffset>
            </wp:positionV>
            <wp:extent cx="80010" cy="147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1184910</wp:posOffset>
            </wp:positionH>
            <wp:positionV relativeFrom="paragraph">
              <wp:posOffset>-584835</wp:posOffset>
            </wp:positionV>
            <wp:extent cx="93345" cy="147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345" cy="14795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3200" w:space="320"/>
            <w:col w:w="5499"/>
          </w:cols>
          <w:pgMar w:left="1440" w:top="123" w:right="1440" w:bottom="1440" w:gutter="0" w:footer="0" w:header="0"/>
          <w:type w:val="continuous"/>
        </w:sectPr>
      </w:pPr>
    </w:p>
    <w:p>
      <w:pPr>
        <w:ind w:left="640" w:right="659" w:firstLine="443"/>
        <w:spacing w:after="0" w:line="250" w:lineRule="auto"/>
        <w:rPr>
          <w:sz w:val="20"/>
          <w:szCs w:val="20"/>
          <w:color w:val="auto"/>
        </w:rPr>
      </w:pPr>
      <w:r>
        <w:rPr>
          <w:rFonts w:ascii="Arial" w:cs="Arial" w:eastAsia="Arial" w:hAnsi="Arial"/>
          <w:sz w:val="14"/>
          <w:szCs w:val="14"/>
          <w:color w:val="auto"/>
        </w:rPr>
        <w:t>Each $1.00 increase (decrease) in the assumed initial public offering price of $           per share, the midpoint of the price range set forth on the cover page of this prospectus, would increase (decrease) the total consideration paid by</w:t>
      </w:r>
    </w:p>
    <w:p>
      <w:pPr>
        <w:spacing w:after="0" w:line="1" w:lineRule="exact"/>
        <w:rPr>
          <w:sz w:val="20"/>
          <w:szCs w:val="20"/>
          <w:color w:val="auto"/>
        </w:rPr>
      </w:pPr>
    </w:p>
    <w:p>
      <w:pPr>
        <w:ind w:left="640" w:right="659"/>
        <w:spacing w:after="0"/>
        <w:rPr>
          <w:sz w:val="20"/>
          <w:szCs w:val="20"/>
          <w:color w:val="auto"/>
        </w:rPr>
      </w:pPr>
      <w:r>
        <w:rPr>
          <w:rFonts w:ascii="Arial" w:cs="Arial" w:eastAsia="Arial" w:hAnsi="Arial"/>
          <w:sz w:val="14"/>
          <w:szCs w:val="14"/>
          <w:color w:val="auto"/>
        </w:rPr>
        <w:t>new investors by $          million and, in the case of an increase, would increase the percentage of total consideration paid by new investors by          % and, in the case of a decrease, would decrease the percentage of total</w:t>
      </w:r>
    </w:p>
    <w:p>
      <w:pPr>
        <w:ind w:left="640" w:right="759"/>
        <w:spacing w:after="0" w:line="243" w:lineRule="auto"/>
        <w:rPr>
          <w:sz w:val="20"/>
          <w:szCs w:val="20"/>
          <w:color w:val="auto"/>
        </w:rPr>
      </w:pPr>
      <w:r>
        <w:rPr>
          <w:rFonts w:ascii="Arial" w:cs="Arial" w:eastAsia="Arial" w:hAnsi="Arial"/>
          <w:sz w:val="14"/>
          <w:szCs w:val="14"/>
          <w:color w:val="auto"/>
        </w:rPr>
        <w:t>consideration paid by new investors by       %, assuming that the number of shares offered by us, as set forth on the cover page of this prospectus, remains the same. Similarly, each increase (decrease) of 1.0 million in the number of shares offered by us, as set forth on the cover page of this prospectus, would increase (decrease) the total consideration paid by new investors by $          million and, in the case of an increase, would increase the percentage of total consideration paid by new investors by          % and, in the case of a decrease, would decrease the percentage of total consideration paid by new investors by        %, in each case assuming that the assumed initial public offering price remains the same.</w:t>
      </w:r>
    </w:p>
    <w:p>
      <w:pPr>
        <w:spacing w:after="0" w:line="221" w:lineRule="exact"/>
        <w:rPr>
          <w:sz w:val="20"/>
          <w:szCs w:val="20"/>
          <w:color w:val="auto"/>
        </w:rPr>
      </w:pPr>
    </w:p>
    <w:p>
      <w:pPr>
        <w:ind w:left="640" w:right="739" w:firstLine="438"/>
        <w:spacing w:after="0" w:line="246" w:lineRule="auto"/>
        <w:rPr>
          <w:sz w:val="20"/>
          <w:szCs w:val="20"/>
          <w:color w:val="auto"/>
        </w:rPr>
      </w:pPr>
      <w:r>
        <w:rPr>
          <w:rFonts w:ascii="Arial" w:cs="Arial" w:eastAsia="Arial" w:hAnsi="Arial"/>
          <w:sz w:val="14"/>
          <w:szCs w:val="14"/>
          <w:color w:val="auto"/>
        </w:rPr>
        <w:t>The foregoing tables and calculations (other than historical net tangible book value calculations) are based on 294,461,725 shares of our common stock outstanding as of December 31, 2025, including 1,618,376 shares of unvested restricted common stock, after giving effect to (i) the conversion of all outstanding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and (iii) the automatic conversion of all outstanding shares of our non-voting common stock into an aggregate of 81,240 shares of our common stock upon the closing of this offering, and exclude:</w:t>
      </w:r>
    </w:p>
    <w:p>
      <w:pPr>
        <w:spacing w:after="0" w:line="54" w:lineRule="exact"/>
        <w:rPr>
          <w:sz w:val="20"/>
          <w:szCs w:val="20"/>
          <w:color w:val="auto"/>
        </w:rPr>
      </w:pPr>
    </w:p>
    <w:p>
      <w:pPr>
        <w:ind w:left="1260" w:right="1319" w:hanging="179"/>
        <w:spacing w:after="0" w:line="281" w:lineRule="auto"/>
        <w:tabs>
          <w:tab w:leader="none" w:pos="1260" w:val="left"/>
        </w:tabs>
        <w:numPr>
          <w:ilvl w:val="0"/>
          <w:numId w:val="50"/>
        </w:numPr>
        <w:rPr>
          <w:rFonts w:ascii="Times New Roman" w:cs="Times New Roman" w:eastAsia="Times New Roman" w:hAnsi="Times New Roman"/>
          <w:sz w:val="14"/>
          <w:szCs w:val="14"/>
          <w:color w:val="auto"/>
        </w:rPr>
      </w:pPr>
      <w:r>
        <w:rPr>
          <w:rFonts w:ascii="Arial" w:cs="Arial" w:eastAsia="Arial" w:hAnsi="Arial"/>
          <w:sz w:val="14"/>
          <w:szCs w:val="14"/>
          <w:color w:val="auto"/>
        </w:rPr>
        <w:t>45,008,927 shares of our common stock issuable upon the exercise of stock options outstanding as of December 31, 2025, under the 2021 Plan, at a weighted average exercise price of $0.51 per share;</w:t>
      </w:r>
    </w:p>
    <w:p>
      <w:pPr>
        <w:spacing w:after="0" w:line="30"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50"/>
        </w:numPr>
        <w:rPr>
          <w:rFonts w:ascii="Times New Roman" w:cs="Times New Roman" w:eastAsia="Times New Roman" w:hAnsi="Times New Roman"/>
          <w:sz w:val="14"/>
          <w:szCs w:val="14"/>
          <w:color w:val="auto"/>
        </w:rPr>
      </w:pPr>
      <w:r>
        <w:rPr>
          <w:rFonts w:ascii="Arial" w:cs="Arial" w:eastAsia="Arial" w:hAnsi="Arial"/>
          <w:sz w:val="14"/>
          <w:szCs w:val="14"/>
          <w:color w:val="auto"/>
        </w:rPr>
        <w:t>9,258,555 shares of our common stock reserved for future issuance under the 2021 Plan as of December 31, 2025, which shares will cease to be available for issuance at the time the 2026 Plan becomes effective;</w:t>
      </w:r>
    </w:p>
    <w:p>
      <w:pPr>
        <w:spacing w:after="0" w:line="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6560" w:type="dxa"/>
            <w:vAlign w:val="bottom"/>
          </w:tcPr>
          <w:p>
            <w:pPr>
              <w:ind w:left="60"/>
              <w:spacing w:after="0"/>
              <w:rPr>
                <w:sz w:val="20"/>
                <w:szCs w:val="20"/>
                <w:color w:val="auto"/>
              </w:rPr>
            </w:pPr>
            <w:r>
              <w:rPr>
                <w:rFonts w:ascii="Arial" w:cs="Arial" w:eastAsia="Arial" w:hAnsi="Arial"/>
                <w:sz w:val="14"/>
                <w:szCs w:val="14"/>
                <w:color w:val="auto"/>
              </w:rPr>
              <w:t>shares of our common stock reserved for future issuance under our 2026 Plan, which will become</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effective on the date immediately preceding the date on which our common stock is listed (or approved for</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listing) on Nasdaq, as well as any automatic increases in the number of shares of our common stock reserved</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for future issuance under the 2026 Plan and any shares underlying outstanding stock awards granted under the</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2021 Plan that expire or are repurchased, forfeited, cancelled or withheld, as more fully described in the section</w:t>
            </w:r>
          </w:p>
        </w:tc>
      </w:tr>
      <w:tr>
        <w:trPr>
          <w:trHeight w:val="190"/>
        </w:trPr>
        <w:tc>
          <w:tcPr>
            <w:tcW w:w="120" w:type="dxa"/>
            <w:vAlign w:val="bottom"/>
          </w:tcPr>
          <w:p>
            <w:pPr>
              <w:spacing w:after="0"/>
              <w:rPr>
                <w:sz w:val="16"/>
                <w:szCs w:val="16"/>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of this prospectus titled “</w:t>
            </w:r>
            <w:r>
              <w:rPr>
                <w:rFonts w:ascii="Arial" w:cs="Arial" w:eastAsia="Arial" w:hAnsi="Arial"/>
                <w:sz w:val="14"/>
                <w:szCs w:val="14"/>
                <w:i w:val="1"/>
                <w:iCs w:val="1"/>
                <w:color w:val="auto"/>
              </w:rPr>
              <w:t>Executive Compensation—Equity Benefit Plans</w:t>
            </w:r>
            <w:r>
              <w:rPr>
                <w:rFonts w:ascii="Arial" w:cs="Arial" w:eastAsia="Arial" w:hAnsi="Arial"/>
                <w:sz w:val="14"/>
                <w:szCs w:val="14"/>
                <w:color w:val="auto"/>
              </w:rPr>
              <w:t>”;</w:t>
            </w:r>
          </w:p>
        </w:tc>
      </w:tr>
      <w:tr>
        <w:trPr>
          <w:trHeight w:val="21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6560" w:type="dxa"/>
            <w:vAlign w:val="bottom"/>
          </w:tcPr>
          <w:p>
            <w:pPr>
              <w:ind w:left="60"/>
              <w:spacing w:after="0"/>
              <w:rPr>
                <w:sz w:val="20"/>
                <w:szCs w:val="20"/>
                <w:color w:val="auto"/>
              </w:rPr>
            </w:pPr>
            <w:r>
              <w:rPr>
                <w:rFonts w:ascii="Arial" w:cs="Arial" w:eastAsia="Arial" w:hAnsi="Arial"/>
                <w:sz w:val="14"/>
                <w:szCs w:val="14"/>
                <w:color w:val="auto"/>
              </w:rPr>
              <w:t>shares of common stock reserved for future issuance under the ESPP which will become effective on</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the date immediately following the date on which our common stock is listed (or approved for listing) on Nasdaq,</w:t>
            </w:r>
          </w:p>
        </w:tc>
      </w:tr>
      <w:tr>
        <w:trPr>
          <w:trHeight w:val="161"/>
        </w:trPr>
        <w:tc>
          <w:tcPr>
            <w:tcW w:w="120" w:type="dxa"/>
            <w:vAlign w:val="bottom"/>
          </w:tcPr>
          <w:p>
            <w:pPr>
              <w:spacing w:after="0"/>
              <w:rPr>
                <w:sz w:val="14"/>
                <w:szCs w:val="14"/>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as well as any automatic increases in the number of shares of common stock reserved for future issuance under</w:t>
            </w:r>
          </w:p>
        </w:tc>
      </w:tr>
      <w:tr>
        <w:trPr>
          <w:trHeight w:val="190"/>
        </w:trPr>
        <w:tc>
          <w:tcPr>
            <w:tcW w:w="120" w:type="dxa"/>
            <w:vAlign w:val="bottom"/>
          </w:tcPr>
          <w:p>
            <w:pPr>
              <w:spacing w:after="0"/>
              <w:rPr>
                <w:sz w:val="16"/>
                <w:szCs w:val="16"/>
                <w:color w:val="auto"/>
              </w:rPr>
            </w:pPr>
          </w:p>
        </w:tc>
        <w:tc>
          <w:tcPr>
            <w:tcW w:w="7160" w:type="dxa"/>
            <w:vAlign w:val="bottom"/>
            <w:gridSpan w:val="2"/>
          </w:tcPr>
          <w:p>
            <w:pPr>
              <w:ind w:left="60"/>
              <w:spacing w:after="0"/>
              <w:rPr>
                <w:sz w:val="20"/>
                <w:szCs w:val="20"/>
                <w:color w:val="auto"/>
              </w:rPr>
            </w:pPr>
            <w:r>
              <w:rPr>
                <w:rFonts w:ascii="Arial" w:cs="Arial" w:eastAsia="Arial" w:hAnsi="Arial"/>
                <w:sz w:val="14"/>
                <w:szCs w:val="14"/>
                <w:color w:val="auto"/>
              </w:rPr>
              <w:t>the ESPP; and</w:t>
            </w:r>
          </w:p>
        </w:tc>
      </w:tr>
    </w:tbl>
    <w:p>
      <w:pPr>
        <w:spacing w:after="0" w:line="57" w:lineRule="exact"/>
        <w:rPr>
          <w:sz w:val="20"/>
          <w:szCs w:val="20"/>
          <w:color w:val="auto"/>
        </w:rPr>
      </w:pPr>
    </w:p>
    <w:p>
      <w:pPr>
        <w:ind w:left="1260" w:right="779" w:hanging="179"/>
        <w:spacing w:after="0" w:line="260" w:lineRule="auto"/>
        <w:tabs>
          <w:tab w:leader="none" w:pos="1260" w:val="left"/>
        </w:tabs>
        <w:numPr>
          <w:ilvl w:val="0"/>
          <w:numId w:val="51"/>
        </w:numPr>
        <w:rPr>
          <w:rFonts w:ascii="Times New Roman" w:cs="Times New Roman" w:eastAsia="Times New Roman" w:hAnsi="Times New Roman"/>
          <w:sz w:val="14"/>
          <w:szCs w:val="14"/>
          <w:color w:val="auto"/>
        </w:rPr>
      </w:pPr>
      <w:r>
        <w:rPr>
          <w:rFonts w:ascii="Arial" w:cs="Arial" w:eastAsia="Arial" w:hAnsi="Arial"/>
          <w:sz w:val="14"/>
          <w:szCs w:val="14"/>
          <w:color w:val="auto"/>
        </w:rPr>
        <w:t>16,928 shares of our common stock issuable upon the exercise of the BOC Warrant as of December 31, 2025, at an exercise price of $6.15 per share (after giving effect to the conversion of our convertible preferred stock into common stock).</w:t>
      </w:r>
    </w:p>
    <w:p>
      <w:pPr>
        <w:spacing w:after="0" w:line="45"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To the extent any of the outstanding options or other securities are exercised or new options or other securities are issued under our equity incentive plans, you will experience further dilution as a new investor in this offering. In addition, we may choose to raise additional capital due to market conditions or strategic considerations even if we believe we have sufficient funds for our current or future operating plans. Furthermore, we may choose to issue common stock as part or all of the consideration in acquisitions as part of our planned growth strategy. To the extent that we raise additional capital through the sale of equity or convertible debt securities, the issuance of these securities could result in further dilution to our stockholders.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81" w:name="page82"/>
    <w:bookmarkEnd w:id="8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88" w:lineRule="exact"/>
        <w:rPr>
          <w:sz w:val="20"/>
          <w:szCs w:val="20"/>
          <w:color w:val="auto"/>
        </w:rPr>
      </w:pPr>
    </w:p>
    <w:p>
      <w:pPr>
        <w:ind w:left="640" w:right="679" w:firstLine="438"/>
        <w:spacing w:after="0" w:line="244"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financial statements and the related notes included elsewhere in this prospectus. This discussion and other parts of this prospectus contain forward-looking statements that are based upon current beliefs, plans and expectations related to future events and our future financial performance that involve risks,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of this prospectus titled “Risk Factors” and elsewhere in this prospectus. You should carefully read the section of this prospectus titled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86" w:lineRule="exact"/>
        <w:rPr>
          <w:sz w:val="20"/>
          <w:szCs w:val="20"/>
          <w:color w:val="auto"/>
        </w:rPr>
      </w:pPr>
    </w:p>
    <w:p>
      <w:pPr>
        <w:ind w:left="640" w:right="699" w:firstLine="438"/>
        <w:spacing w:after="0" w:line="248" w:lineRule="auto"/>
        <w:rPr>
          <w:sz w:val="20"/>
          <w:szCs w:val="20"/>
          <w:color w:val="auto"/>
        </w:rPr>
      </w:pPr>
      <w:r>
        <w:rPr>
          <w:rFonts w:ascii="Arial" w:cs="Arial" w:eastAsia="Arial" w:hAnsi="Arial"/>
          <w:sz w:val="14"/>
          <w:szCs w:val="14"/>
          <w:color w:val="auto"/>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We have prioritized targets where we believe the underlying disease biology is understood through genetic, clinical, or translational evidence.</w:t>
      </w:r>
    </w:p>
    <w:p>
      <w:pPr>
        <w:spacing w:after="0" w:line="54"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Our most advanced programs include OD-001, an oral small-molecule scaffolding inhibitor of receptor-interacting protein kinase 2, or RIPK2, and an oral small-molecule inhibitor of solute carrier family 15 member 4, or SLC15A4. OD-001 has achieved proof-of-concept in a phase 2a trial for the treatment of ulcerative colitis, or UC, one of the two main types of inflammatory bowel disease, or IBD, and OD-002, our SLC15A4 inhibitor product candidate, is currently in IND-enabling studies. These programs have the potential to yield treatments for inflammatory and autoimmune diseases that have large, addressable patient populations globally and a lack of effective treatments, including inflammatory bowel disease, or IBD, systemic lupus erythematosus, or SLE, and other disorders characterized either by the chronic overactivation of the type I interferon pathway, referred to as interferonopathies, or by pathogenic autoreactive B cells. In addition to our most advanced programs, we have a portfolio of wholly owned preclinical programs that include, but are not limited to, a regulatory T cells-specific tumor necrosis factor receptor 2 agonist, a bispecific antagonist of thymic stromal lymphopoietin and interleukin-33, and an interleukin-1 receptor-associated kinase 4 scaffolding inhibitor. We also have an interferon regulatory factor 5, or IRF5, inhibitor in preclinical development that we are collaborating on with Terray Therapeutics, Inc., or Terray.</w:t>
      </w:r>
    </w:p>
    <w:p>
      <w:pPr>
        <w:spacing w:after="0" w:line="22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Since our inception in 2021, we have devoted substantially all of our resources to business planning, research and development activities, recruiting management and technical staff, raising capital, producing materials for preclinical studies and clinical trials, developing and establishing our intellectual property portfolio, entering into and performing under collaboration agreements, acquiring companies or assets to further our development programs and building infrastructure to support these activities. We do not have any products approved for sale and have not generated any revenue from product sales.</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We have incurred significant operating losses and negative cash flows since our inception. Our net loss was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$148.6 million and $129.3 million for the years ended December 31, 2025 and 2024, respectively. As of December 31,</w:t>
      </w:r>
    </w:p>
    <w:p>
      <w:pPr>
        <w:ind w:left="640"/>
        <w:spacing w:after="0"/>
        <w:rPr>
          <w:sz w:val="20"/>
          <w:szCs w:val="20"/>
          <w:color w:val="auto"/>
        </w:rPr>
      </w:pPr>
      <w:r>
        <w:rPr>
          <w:rFonts w:ascii="Arial" w:cs="Arial" w:eastAsia="Arial" w:hAnsi="Arial"/>
          <w:sz w:val="14"/>
          <w:szCs w:val="14"/>
          <w:color w:val="auto"/>
        </w:rPr>
        <w:t>2025, we had an accumulated deficit of $568.1 million and cash, cash equivalents, and marketable securities of $216.6</w:t>
      </w:r>
    </w:p>
    <w:p>
      <w:pPr>
        <w:ind w:left="640"/>
        <w:spacing w:after="0"/>
        <w:rPr>
          <w:sz w:val="20"/>
          <w:szCs w:val="20"/>
          <w:color w:val="auto"/>
        </w:rPr>
      </w:pPr>
      <w:r>
        <w:rPr>
          <w:rFonts w:ascii="Arial" w:cs="Arial" w:eastAsia="Arial" w:hAnsi="Arial"/>
          <w:sz w:val="14"/>
          <w:szCs w:val="14"/>
          <w:color w:val="auto"/>
        </w:rPr>
        <w:t>million. Since our inception, we have financed our operations primarily through the sale of shares of our convertible</w:t>
      </w:r>
    </w:p>
    <w:p>
      <w:pPr>
        <w:ind w:left="640"/>
        <w:spacing w:after="0"/>
        <w:rPr>
          <w:sz w:val="20"/>
          <w:szCs w:val="20"/>
          <w:color w:val="auto"/>
        </w:rPr>
      </w:pPr>
      <w:r>
        <w:rPr>
          <w:rFonts w:ascii="Arial" w:cs="Arial" w:eastAsia="Arial" w:hAnsi="Arial"/>
          <w:sz w:val="14"/>
          <w:szCs w:val="14"/>
          <w:color w:val="auto"/>
        </w:rPr>
        <w:t>preferred stock and the proceeds from research collaborations and license agreements.</w:t>
      </w:r>
    </w:p>
    <w:p>
      <w:pPr>
        <w:spacing w:after="0" w:line="72"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Based on our current operating plan, we estimate that our existing cash, cash equivalents and marketable securities as of the date of this prospectus, together with the estimated net proceeds from this offering, will be sufficient to fund our operating expenses and capital expenditures through           . We have based this estimate and our forecast of cash resources and planned operations on our current assumptions, which may prove to be wrong, and we may exhaust our available capital resources sooner than we expect. Additional funds will be necessary to maintain our current operations and to continue our research and development activities. We plan to monitor expenses and raise additional capital as needed through a combination of public and private equity and debt financings, strategic alliances and licensing or collaboration arrangements. As of December 31, 2025, we expect that our existing cash, cash equivalents and marketable securities will not be sufficient to fund our current and planned operations for at least the next twelve months following the issuance date of our audited consolidated financial statements. We concluded that as of the issuance date of our audited consolidated financial statements for the year ended December 31, 2025, there is substantial doubt about our ability to continue as a going concern within twelve months of the issuance date of those financial statements. See Note 1 to our annual audited consolidated financial statements appearing elsewhere in this prospectus. Similarly, in its report on our audited consolidated financial statements for the year ended December 31, 2025, our independent registered public accounting firm includes an explanatory paragraph stating that our recurring losses from operations since inception,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2" w:name="page83"/>
    <w:bookmarkEnd w:id="8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50" w:lineRule="auto"/>
        <w:rPr>
          <w:sz w:val="20"/>
          <w:szCs w:val="20"/>
          <w:color w:val="auto"/>
        </w:rPr>
      </w:pPr>
      <w:r>
        <w:rPr>
          <w:rFonts w:ascii="Arial" w:cs="Arial" w:eastAsia="Arial" w:hAnsi="Arial"/>
          <w:sz w:val="14"/>
          <w:szCs w:val="14"/>
          <w:color w:val="auto"/>
        </w:rPr>
        <w:t>expectation of generating operating losses in the foreseeable future and need for additional capital to finance our future operations raise substantial doubt about our ability to continue as a going concern. Our ability to access capital when needed is not assured and if capital is not available to us when, and in the amounts, needed, we may need to delay, scale back or abandon some or all of our development programs and other operations, which could materially affect our business, financial condition and results of operations.</w:t>
      </w:r>
    </w:p>
    <w:p>
      <w:pPr>
        <w:spacing w:after="0" w:line="53" w:lineRule="exact"/>
        <w:rPr>
          <w:sz w:val="20"/>
          <w:szCs w:val="20"/>
          <w:color w:val="auto"/>
        </w:rPr>
      </w:pPr>
    </w:p>
    <w:p>
      <w:pPr>
        <w:ind w:left="640" w:right="759" w:firstLine="438"/>
        <w:spacing w:after="0" w:line="247" w:lineRule="auto"/>
        <w:rPr>
          <w:sz w:val="20"/>
          <w:szCs w:val="20"/>
          <w:color w:val="auto"/>
        </w:rPr>
      </w:pPr>
      <w:r>
        <w:rPr>
          <w:rFonts w:ascii="Arial" w:cs="Arial" w:eastAsia="Arial" w:hAnsi="Arial"/>
          <w:sz w:val="14"/>
          <w:szCs w:val="14"/>
          <w:color w:val="auto"/>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Because of the numerous risks and uncertainties associated with product development, we may never achieve profitability, and, unless we do, and until then, we will need to continue to raise additional capital.</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We expect our expenses will increase substantially in connection with our ongoing and planned activities, as we:</w:t>
      </w:r>
    </w:p>
    <w:p>
      <w:pPr>
        <w:spacing w:after="0" w:line="86" w:lineRule="exact"/>
        <w:rPr>
          <w:sz w:val="20"/>
          <w:szCs w:val="20"/>
          <w:color w:val="auto"/>
        </w:rPr>
      </w:pPr>
    </w:p>
    <w:p>
      <w:pPr>
        <w:ind w:left="1260" w:right="859" w:hanging="179"/>
        <w:spacing w:after="0" w:line="281" w:lineRule="auto"/>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continue to progress the development of our product candidates, including our two most advanced programs: OD-001 and OD-002;</w:t>
      </w:r>
    </w:p>
    <w:p>
      <w:pPr>
        <w:spacing w:after="0" w:line="30"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spacing w:after="0" w:line="45" w:lineRule="exact"/>
        <w:rPr>
          <w:rFonts w:ascii="Times New Roman" w:cs="Times New Roman" w:eastAsia="Times New Roman" w:hAnsi="Times New Roman"/>
          <w:sz w:val="14"/>
          <w:szCs w:val="14"/>
          <w:color w:val="auto"/>
        </w:rPr>
      </w:pPr>
    </w:p>
    <w:p>
      <w:pPr>
        <w:ind w:left="1260" w:right="1099" w:hanging="179"/>
        <w:spacing w:after="0" w:line="281" w:lineRule="auto"/>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establish and expand the manufacturing of preclinical and clinical supply of our current and future product candidates;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seek regulatory approvals for any of our current product candidates or any future product candidates;</w:t>
      </w:r>
    </w:p>
    <w:p>
      <w:pPr>
        <w:spacing w:after="0" w:line="96" w:lineRule="exact"/>
        <w:rPr>
          <w:rFonts w:ascii="Times New Roman" w:cs="Times New Roman" w:eastAsia="Times New Roman" w:hAnsi="Times New Roman"/>
          <w:sz w:val="14"/>
          <w:szCs w:val="14"/>
          <w:color w:val="auto"/>
        </w:rPr>
      </w:pPr>
    </w:p>
    <w:p>
      <w:pPr>
        <w:ind w:left="1260" w:right="1219" w:hanging="179"/>
        <w:spacing w:after="0" w:line="281" w:lineRule="auto"/>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establish a sales, marketing, manufacturing and distribution infrastructure to commercialize any product candidates for which we may obtain marketing approval, if any;</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attract, hire and retain qualified clinical, scientific, operations and management personnel;</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add and maintain operational, financial and information management systems;</w:t>
      </w:r>
    </w:p>
    <w:p>
      <w:pPr>
        <w:spacing w:after="0" w:line="96"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protect, maintain, enforce and expand our rights in our intellectual property portfolio or acquire or in-license intellectual property and technologies from third parties;</w:t>
      </w:r>
    </w:p>
    <w:p>
      <w:pPr>
        <w:spacing w:after="0" w:line="30" w:lineRule="exact"/>
        <w:rPr>
          <w:rFonts w:ascii="Times New Roman" w:cs="Times New Roman" w:eastAsia="Times New Roman" w:hAnsi="Times New Roman"/>
          <w:sz w:val="14"/>
          <w:szCs w:val="14"/>
          <w:color w:val="auto"/>
        </w:rPr>
      </w:pPr>
    </w:p>
    <w:p>
      <w:pPr>
        <w:ind w:left="1260" w:right="1159" w:hanging="179"/>
        <w:spacing w:after="0" w:line="281" w:lineRule="auto"/>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experience any delays in our preclinical studies or clinical trials and regulatory approval for our product candidates, including as a result of macroeconomic conditions, geopolitical conflicts or other factors; and</w:t>
      </w:r>
    </w:p>
    <w:p>
      <w:pPr>
        <w:spacing w:after="0" w:line="30" w:lineRule="exact"/>
        <w:rPr>
          <w:rFonts w:ascii="Times New Roman" w:cs="Times New Roman" w:eastAsia="Times New Roman" w:hAnsi="Times New Roman"/>
          <w:sz w:val="14"/>
          <w:szCs w:val="14"/>
          <w:color w:val="auto"/>
        </w:rPr>
      </w:pPr>
    </w:p>
    <w:p>
      <w:pPr>
        <w:ind w:left="1260" w:right="879" w:hanging="179"/>
        <w:spacing w:after="0" w:line="281" w:lineRule="auto"/>
        <w:tabs>
          <w:tab w:leader="none" w:pos="126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incur additional legal, accounting or other expenses in operating our business, including the costs associated with operating as a public company following the completion of this offering.</w:t>
      </w:r>
    </w:p>
    <w:p>
      <w:pPr>
        <w:spacing w:after="0" w:line="30" w:lineRule="exact"/>
        <w:rPr>
          <w:sz w:val="20"/>
          <w:szCs w:val="20"/>
          <w:color w:val="auto"/>
        </w:rPr>
      </w:pPr>
    </w:p>
    <w:p>
      <w:pPr>
        <w:ind w:left="640" w:right="779" w:firstLine="438"/>
        <w:spacing w:after="0" w:line="261" w:lineRule="auto"/>
        <w:rPr>
          <w:sz w:val="20"/>
          <w:szCs w:val="20"/>
          <w:color w:val="auto"/>
        </w:rPr>
      </w:pPr>
      <w:r>
        <w:rPr>
          <w:rFonts w:ascii="Arial" w:cs="Arial" w:eastAsia="Arial" w:hAnsi="Arial"/>
          <w:sz w:val="14"/>
          <w:szCs w:val="14"/>
          <w:color w:val="auto"/>
        </w:rPr>
        <w:t>We do not currently own or operate any manufacturing facilities. We rely on third-party contract manufacturing organizations, or CMOs, to produce our drug candidates in accordance with the U.S. Food and Drug Administration’s, or the FDA, current good manufacturing practices, or cGMPs, for use in our clinical trials.</w:t>
      </w:r>
    </w:p>
    <w:p>
      <w:pPr>
        <w:spacing w:after="0" w:line="44" w:lineRule="exact"/>
        <w:rPr>
          <w:sz w:val="20"/>
          <w:szCs w:val="20"/>
          <w:color w:val="auto"/>
        </w:rPr>
      </w:pPr>
    </w:p>
    <w:p>
      <w:pPr>
        <w:ind w:left="640" w:right="999" w:firstLine="438"/>
        <w:spacing w:after="0" w:line="261" w:lineRule="auto"/>
        <w:rPr>
          <w:sz w:val="20"/>
          <w:szCs w:val="20"/>
          <w:color w:val="auto"/>
        </w:rPr>
      </w:pPr>
      <w:r>
        <w:rPr>
          <w:rFonts w:ascii="Arial" w:cs="Arial" w:eastAsia="Arial" w:hAnsi="Arial"/>
          <w:sz w:val="14"/>
          <w:szCs w:val="14"/>
          <w:color w:val="auto"/>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44" w:lineRule="exact"/>
        <w:rPr>
          <w:sz w:val="20"/>
          <w:szCs w:val="20"/>
          <w:color w:val="auto"/>
        </w:rPr>
      </w:pPr>
    </w:p>
    <w:p>
      <w:pPr>
        <w:ind w:left="640" w:right="659" w:firstLine="438"/>
        <w:spacing w:after="0" w:line="250" w:lineRule="auto"/>
        <w:rPr>
          <w:sz w:val="20"/>
          <w:szCs w:val="20"/>
          <w:color w:val="auto"/>
        </w:rPr>
      </w:pPr>
      <w:r>
        <w:rPr>
          <w:rFonts w:ascii="Arial" w:cs="Arial" w:eastAsia="Arial" w:hAnsi="Arial"/>
          <w:sz w:val="14"/>
          <w:szCs w:val="14"/>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p>
    <w:p>
      <w:pPr>
        <w:spacing w:after="0" w:line="53" w:lineRule="exact"/>
        <w:rPr>
          <w:sz w:val="20"/>
          <w:szCs w:val="20"/>
          <w:color w:val="auto"/>
        </w:rPr>
      </w:pPr>
    </w:p>
    <w:p>
      <w:pPr>
        <w:ind w:left="640" w:right="839" w:firstLine="438"/>
        <w:spacing w:after="0" w:line="250" w:lineRule="auto"/>
        <w:rPr>
          <w:sz w:val="20"/>
          <w:szCs w:val="20"/>
          <w:color w:val="auto"/>
        </w:rPr>
      </w:pPr>
      <w:r>
        <w:rPr>
          <w:rFonts w:ascii="Arial" w:cs="Arial" w:eastAsia="Arial" w:hAnsi="Arial"/>
          <w:sz w:val="14"/>
          <w:szCs w:val="14"/>
          <w:color w:val="auto"/>
        </w:rPr>
        <w:t>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 See the subsection titled “–</w:t>
      </w:r>
      <w:r>
        <w:rPr>
          <w:rFonts w:ascii="Arial" w:cs="Arial" w:eastAsia="Arial" w:hAnsi="Arial"/>
          <w:sz w:val="14"/>
          <w:szCs w:val="14"/>
          <w:i w:val="1"/>
          <w:iCs w:val="1"/>
          <w:color w:val="auto"/>
        </w:rPr>
        <w:t>Liquidity and</w:t>
      </w:r>
      <w:r>
        <w:rPr>
          <w:rFonts w:ascii="Arial" w:cs="Arial" w:eastAsia="Arial" w:hAnsi="Arial"/>
          <w:sz w:val="14"/>
          <w:szCs w:val="14"/>
          <w:color w:val="auto"/>
        </w:rPr>
        <w:t xml:space="preserve"> </w:t>
      </w:r>
      <w:r>
        <w:rPr>
          <w:rFonts w:ascii="Arial" w:cs="Arial" w:eastAsia="Arial" w:hAnsi="Arial"/>
          <w:sz w:val="14"/>
          <w:szCs w:val="14"/>
          <w:i w:val="1"/>
          <w:iCs w:val="1"/>
          <w:color w:val="auto"/>
        </w:rPr>
        <w:t>Capital Resources</w:t>
      </w:r>
      <w:r>
        <w:rPr>
          <w:rFonts w:ascii="Arial" w:cs="Arial" w:eastAsia="Arial" w:hAnsi="Arial"/>
          <w:sz w:val="14"/>
          <w:szCs w:val="14"/>
          <w:color w:val="auto"/>
        </w:rPr>
        <w:t>” below for additional discussion of our liquidity.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Components of Operating Results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84" w:lineRule="exact"/>
        <w:rPr>
          <w:sz w:val="20"/>
          <w:szCs w:val="20"/>
          <w:color w:val="auto"/>
        </w:rPr>
      </w:pPr>
    </w:p>
    <w:p>
      <w:pPr>
        <w:ind w:left="640" w:right="719" w:firstLine="438"/>
        <w:spacing w:after="0" w:line="248" w:lineRule="auto"/>
        <w:rPr>
          <w:sz w:val="20"/>
          <w:szCs w:val="20"/>
          <w:color w:val="auto"/>
        </w:rPr>
      </w:pPr>
      <w:r>
        <w:rPr>
          <w:rFonts w:ascii="Arial" w:cs="Arial" w:eastAsia="Arial" w:hAnsi="Arial"/>
          <w:sz w:val="14"/>
          <w:szCs w:val="14"/>
          <w:color w:val="auto"/>
        </w:rPr>
        <w:t>We have not generated any revenue from product sales, and we do not expect to generate any revenue from the sale of products for the foreseeable future, if ever. Our ability to generate product revenues will depend on the successful development and eventual commercialization of any product candidates that we identify. If we fail to complete the development of any of our current or future product candidates in a timely manner or fail to obtain regulatory approval for those product candidates, our ability to generate future revenue and our business, results of operations, financial condition and prospects would be materially adversely affected.</w:t>
      </w:r>
    </w:p>
    <w:p>
      <w:pPr>
        <w:spacing w:after="0" w:line="54" w:lineRule="exact"/>
        <w:rPr>
          <w:sz w:val="20"/>
          <w:szCs w:val="20"/>
          <w:color w:val="auto"/>
        </w:rPr>
      </w:pPr>
    </w:p>
    <w:p>
      <w:pPr>
        <w:ind w:left="640" w:right="699" w:firstLine="438"/>
        <w:spacing w:after="0" w:line="248" w:lineRule="auto"/>
        <w:rPr>
          <w:sz w:val="20"/>
          <w:szCs w:val="20"/>
          <w:color w:val="auto"/>
        </w:rPr>
      </w:pPr>
      <w:r>
        <w:rPr>
          <w:rFonts w:ascii="Arial" w:cs="Arial" w:eastAsia="Arial" w:hAnsi="Arial"/>
          <w:sz w:val="14"/>
          <w:szCs w:val="14"/>
          <w:color w:val="auto"/>
        </w:rPr>
        <w:t>For the years ended December 31, 2025 and 2024, our revenue consisted of collaboration revenue earned under the Material Transfer and Evaluation Agreement, dated December 20, 2022, or the Pfizer MTA, with Pfizer Inc., or Pfizer, which expired by its terms in 2025, and revenue earned under the Strategic Collaboration, Option and License Agreement, dated March 29, 2024, or the J&amp;J Agreement, with Janssen Pharmaceutica NV, a Johnson &amp; Johnson company, or J&amp;J. For additional information about our revenue recognition policy related to our collaboration agreements, refer to Notes 2 and 4 to our audited consolidated financial statements included elsewhere in this prospectus.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4" w:lineRule="exact"/>
        <w:rPr>
          <w:sz w:val="20"/>
          <w:szCs w:val="20"/>
          <w:color w:val="auto"/>
        </w:rPr>
      </w:pPr>
    </w:p>
    <w:p>
      <w:pPr>
        <w:ind w:left="640" w:right="1259" w:firstLine="438"/>
        <w:spacing w:after="0" w:line="282" w:lineRule="auto"/>
        <w:rPr>
          <w:sz w:val="20"/>
          <w:szCs w:val="20"/>
          <w:color w:val="auto"/>
        </w:rPr>
      </w:pPr>
      <w:r>
        <w:rPr>
          <w:rFonts w:ascii="Arial" w:cs="Arial" w:eastAsia="Arial" w:hAnsi="Arial"/>
          <w:sz w:val="14"/>
          <w:szCs w:val="14"/>
          <w:color w:val="auto"/>
        </w:rPr>
        <w:t>Our operating expenses consist of (i) research and development expenses, (ii) general and administrative expenses and (iii) change in fair value of contingent consideration.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Research and Development Expenses</w:t>
      </w:r>
    </w:p>
    <w:p>
      <w:pPr>
        <w:spacing w:after="0" w:line="84"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color w:val="auto"/>
        </w:rPr>
        <w:t>The largest component of our total operating expenses since our inception has been research and development activities, including costs incurred relating to discovery efforts and the preclinical and clinical development of our product candidates. Research and development expenses consist primarily of internal personnel-related expenses, such as compensation and benefits for research and development employees, including stock-based compensation; external expenses associated with preclinical studies and clinical trials, including costs incurred under agreements with contract research organizations, or CROs, investigative sites that conduct preclinical studies and clinical trials, payments under licensing and research and development agreements and other outside services and consulting costs; costs of acquiring and manufacturing clinical trial materials and other supplies; software and information technology, or IT, costs; and allocated facility-related costs, such as rent, utilities and depreciation. Research and development costs are expensed as incurred.</w:t>
      </w:r>
    </w:p>
    <w:p>
      <w:pPr>
        <w:spacing w:after="0" w:line="60"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We do not disaggregate external expenses associated with our preclinical studies from those associated with our clinical trials, because many of these external expenses relate to both preclinical studies and clinical trials across our development programs. We also do not allocate employee-related costs, laboratory supplies, and facilities, including other internal costs, to specific product candidates, because these costs are associated with multiple programs and, as such, are not separately classified. We use internal resources primarily for managing our product development, manufacturing and clinical development activities. We deploy our personnel across all of our research and development activities as our employees work across multiple programs.</w:t>
      </w:r>
    </w:p>
    <w:p>
      <w:pPr>
        <w:spacing w:after="0" w:line="54" w:lineRule="exact"/>
        <w:rPr>
          <w:sz w:val="20"/>
          <w:szCs w:val="20"/>
          <w:color w:val="auto"/>
        </w:rPr>
      </w:pPr>
    </w:p>
    <w:p>
      <w:pPr>
        <w:ind w:left="640" w:right="659" w:firstLine="438"/>
        <w:spacing w:after="0" w:line="245" w:lineRule="auto"/>
        <w:rPr>
          <w:sz w:val="20"/>
          <w:szCs w:val="20"/>
          <w:color w:val="auto"/>
        </w:rPr>
      </w:pPr>
      <w:r>
        <w:rPr>
          <w:rFonts w:ascii="Arial" w:cs="Arial" w:eastAsia="Arial" w:hAnsi="Arial"/>
          <w:sz w:val="14"/>
          <w:szCs w:val="14"/>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General and Administrative Expenses</w:t>
      </w:r>
    </w:p>
    <w:p>
      <w:pPr>
        <w:spacing w:after="0" w:line="84" w:lineRule="exact"/>
        <w:rPr>
          <w:sz w:val="20"/>
          <w:szCs w:val="20"/>
          <w:color w:val="auto"/>
        </w:rPr>
      </w:pPr>
    </w:p>
    <w:p>
      <w:pPr>
        <w:ind w:left="640" w:right="799" w:firstLine="438"/>
        <w:spacing w:after="0" w:line="250" w:lineRule="auto"/>
        <w:rPr>
          <w:sz w:val="20"/>
          <w:szCs w:val="20"/>
          <w:color w:val="auto"/>
        </w:rPr>
      </w:pPr>
      <w:r>
        <w:rPr>
          <w:rFonts w:ascii="Arial" w:cs="Arial" w:eastAsia="Arial" w:hAnsi="Arial"/>
          <w:sz w:val="14"/>
          <w:szCs w:val="14"/>
          <w:color w:val="auto"/>
        </w:rPr>
        <w:t>General and administrative expenses consist primarily of payroll and personnel-related expenses, including salaries, employee benefit costs, travel and business expenses and stock-based compensation expense for our general and administrative personnel; professional fees for legal, consulting, accounting and tax services; software and IT costs; allocated overhead, including allocated facility-related costs, including rent, utilities and depreciation; and other general operating expenses not otherwise classified as research and development expenses.</w:t>
      </w:r>
    </w:p>
    <w:p>
      <w:pPr>
        <w:spacing w:after="0" w:line="53" w:lineRule="exact"/>
        <w:rPr>
          <w:sz w:val="20"/>
          <w:szCs w:val="20"/>
          <w:color w:val="auto"/>
        </w:rPr>
      </w:pPr>
    </w:p>
    <w:p>
      <w:pPr>
        <w:jc w:val="both"/>
        <w:ind w:left="640" w:right="1059" w:firstLine="438"/>
        <w:spacing w:after="0" w:line="261" w:lineRule="auto"/>
        <w:rPr>
          <w:sz w:val="20"/>
          <w:szCs w:val="20"/>
          <w:color w:val="auto"/>
        </w:rPr>
      </w:pPr>
      <w:r>
        <w:rPr>
          <w:rFonts w:ascii="Arial" w:cs="Arial" w:eastAsia="Arial" w:hAnsi="Arial"/>
          <w:sz w:val="14"/>
          <w:szCs w:val="14"/>
          <w:color w:val="auto"/>
        </w:rPr>
        <w:t>We anticipate that our general and administrative expenses will increase following this offering, as a result of increased personnel costs, including salaries, benefits and stock-based compensation expense, patent costs for our product candidates, expanded infrastructure and higher legal, consulting and accounting services associated with</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4" w:name="page85"/>
    <w:bookmarkEnd w:id="8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79"/>
        <w:spacing w:after="0" w:line="261" w:lineRule="auto"/>
        <w:rPr>
          <w:sz w:val="20"/>
          <w:szCs w:val="20"/>
          <w:color w:val="auto"/>
        </w:rPr>
      </w:pPr>
      <w:r>
        <w:rPr>
          <w:rFonts w:ascii="Arial" w:cs="Arial" w:eastAsia="Arial" w:hAnsi="Arial"/>
          <w:sz w:val="14"/>
          <w:szCs w:val="14"/>
          <w:color w:val="auto"/>
        </w:rPr>
        <w:t>maintaining compliance with the listing requirements of the Nasdaq Stock Market LLC and rules and regulations promulgated under the Securities Exchange Act of 1934, as amended, or the Exchange Act, investor relations costs and director and officer insurance premiums associated with being a public company.</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Changes in fair value of contingent consideration</w:t>
      </w:r>
    </w:p>
    <w:p>
      <w:pPr>
        <w:spacing w:after="0" w:line="84" w:lineRule="exact"/>
        <w:rPr>
          <w:sz w:val="20"/>
          <w:szCs w:val="20"/>
          <w:color w:val="auto"/>
        </w:rPr>
      </w:pPr>
    </w:p>
    <w:p>
      <w:pPr>
        <w:ind w:left="640" w:right="679" w:firstLine="438"/>
        <w:spacing w:after="0" w:line="254" w:lineRule="auto"/>
        <w:rPr>
          <w:sz w:val="20"/>
          <w:szCs w:val="20"/>
          <w:color w:val="auto"/>
        </w:rPr>
      </w:pPr>
      <w:r>
        <w:rPr>
          <w:rFonts w:ascii="Arial" w:cs="Arial" w:eastAsia="Arial" w:hAnsi="Arial"/>
          <w:sz w:val="14"/>
          <w:szCs w:val="14"/>
          <w:color w:val="auto"/>
        </w:rPr>
        <w:t>Expenses associated with changes in fair value of contingent consideration are driven by changes in the assumptions used by management in estimating the fair value of future payments that may be made by us to the previous members of IFM Discovery, LLC, or IFM, as a result of our acquisition of IFM in 2022, and Rahko Limited, or Rahko, as a result of our acquisition of Rahko in 2021.</w:t>
      </w:r>
    </w:p>
    <w:p>
      <w:pPr>
        <w:spacing w:after="0" w:line="49" w:lineRule="exact"/>
        <w:rPr>
          <w:sz w:val="20"/>
          <w:szCs w:val="20"/>
          <w:color w:val="auto"/>
        </w:rPr>
      </w:pPr>
    </w:p>
    <w:p>
      <w:pPr>
        <w:ind w:left="640" w:right="679" w:firstLine="438"/>
        <w:spacing w:after="0" w:line="282" w:lineRule="auto"/>
        <w:rPr>
          <w:sz w:val="20"/>
          <w:szCs w:val="20"/>
          <w:color w:val="auto"/>
        </w:rPr>
      </w:pPr>
      <w:r>
        <w:rPr>
          <w:rFonts w:ascii="Arial" w:cs="Arial" w:eastAsia="Arial" w:hAnsi="Arial"/>
          <w:sz w:val="14"/>
          <w:szCs w:val="14"/>
          <w:color w:val="auto"/>
        </w:rPr>
        <w:t>For additional information about the changes in fair value of contingent consideration, refer to Note 5 to our audited consolidated financial statements included elsewhere in this prospectus.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Interest income</w:t>
      </w:r>
    </w:p>
    <w:p>
      <w:pPr>
        <w:spacing w:after="0" w:line="84" w:lineRule="exact"/>
        <w:rPr>
          <w:sz w:val="20"/>
          <w:szCs w:val="20"/>
          <w:color w:val="auto"/>
        </w:rPr>
      </w:pPr>
    </w:p>
    <w:p>
      <w:pPr>
        <w:ind w:left="640" w:right="719" w:firstLine="438"/>
        <w:spacing w:after="0" w:line="282" w:lineRule="auto"/>
        <w:rPr>
          <w:sz w:val="20"/>
          <w:szCs w:val="20"/>
          <w:color w:val="auto"/>
        </w:rPr>
      </w:pPr>
      <w:r>
        <w:rPr>
          <w:rFonts w:ascii="Arial" w:cs="Arial" w:eastAsia="Arial" w:hAnsi="Arial"/>
          <w:sz w:val="14"/>
          <w:szCs w:val="14"/>
          <w:color w:val="auto"/>
        </w:rPr>
        <w:t>Interest income consists primarily of interest generated on our interest-bearing cash and cash equivalent accounts and accretion of discounts and amortization of premiums related to our marketable securities.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Interest expense</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Interest expense consists primarily of interest on our finance leases for certain lab equipment.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Other expense, net</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Other expense, net consists primarily of realized and unrealized foreign currency transaction losses.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Income tax provision</w:t>
      </w:r>
    </w:p>
    <w:p>
      <w:pPr>
        <w:spacing w:after="0" w:line="84" w:lineRule="exact"/>
        <w:rPr>
          <w:sz w:val="20"/>
          <w:szCs w:val="20"/>
          <w:color w:val="auto"/>
        </w:rPr>
      </w:pPr>
    </w:p>
    <w:p>
      <w:pPr>
        <w:ind w:left="640" w:right="759" w:firstLine="438"/>
        <w:spacing w:after="0" w:line="250" w:lineRule="auto"/>
        <w:rPr>
          <w:sz w:val="20"/>
          <w:szCs w:val="20"/>
          <w:color w:val="auto"/>
        </w:rPr>
      </w:pPr>
      <w:r>
        <w:rPr>
          <w:rFonts w:ascii="Arial" w:cs="Arial" w:eastAsia="Arial" w:hAnsi="Arial"/>
          <w:sz w:val="14"/>
          <w:szCs w:val="14"/>
          <w:color w:val="auto"/>
        </w:rPr>
        <w:t>Income tax provision consists of U.S. state and foreign taxes in jurisdictions in which we conduct business. Since our inception, we have not recorded any income tax benefits for the net losses we have incurred or for our earned research and development tax credits, as we believe, based upon the weight of available evidence, that it is more likely than not that not all of our net operating loss carryforwards and tax credits will be realized. As of December 31, 2025, we have recorded a full valuation allowance against our net deferred tax assets.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Results of Operations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Comparison of the Years Ended December 31, 2025 and 2024</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following table summarizes our results of operations for the periods presented:</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6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88"/>
              <w:spacing w:after="0" w:line="152"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08"/>
              <w:spacing w:after="0" w:line="152"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48"/>
              <w:spacing w:after="0" w:line="152" w:lineRule="exact"/>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right"/>
              <w:ind w:right="568"/>
              <w:spacing w:after="0" w:line="152" w:lineRule="exact"/>
              <w:rPr>
                <w:sz w:val="20"/>
                <w:szCs w:val="20"/>
                <w:color w:val="auto"/>
              </w:rPr>
            </w:pPr>
            <w:r>
              <w:rPr>
                <w:rFonts w:ascii="Arial" w:cs="Arial" w:eastAsia="Arial" w:hAnsi="Arial"/>
                <w:sz w:val="14"/>
                <w:szCs w:val="14"/>
                <w:b w:val="1"/>
                <w:bCs w:val="1"/>
                <w:color w:val="auto"/>
                <w:w w:val="76"/>
              </w:rPr>
              <w:t>thousands)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Collaboration revenue</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4,472</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(1,496)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Operating expenses: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126,616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112,579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14,037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37,516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10,400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fair value of contingent consideration</w:t>
            </w: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(4,047)</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1,798</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(5,845)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500" w:type="dxa"/>
            <w:vAlign w:val="bottom"/>
            <w:tcBorders>
              <w:top w:val="single" w:sz="8" w:color="CFF0FC"/>
            </w:tcBorders>
          </w:tcPr>
          <w:p>
            <w:pPr>
              <w:ind w:left="400"/>
              <w:spacing w:after="0" w:line="152" w:lineRule="exact"/>
              <w:rPr>
                <w:sz w:val="20"/>
                <w:szCs w:val="20"/>
                <w:color w:val="auto"/>
              </w:rPr>
            </w:pPr>
            <w:r>
              <w:rPr>
                <w:rFonts w:ascii="Arial" w:cs="Arial" w:eastAsia="Arial" w:hAnsi="Arial"/>
                <w:sz w:val="14"/>
                <w:szCs w:val="14"/>
                <w:color w:val="auto"/>
              </w:rPr>
              <w:t>Total operating expenses</w:t>
            </w:r>
          </w:p>
        </w:tc>
        <w:tc>
          <w:tcPr>
            <w:tcW w:w="68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160,085</w:t>
            </w:r>
          </w:p>
        </w:tc>
        <w:tc>
          <w:tcPr>
            <w:tcW w:w="20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141,493</w:t>
            </w:r>
          </w:p>
        </w:tc>
        <w:tc>
          <w:tcPr>
            <w:tcW w:w="18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18,592</w:t>
            </w:r>
          </w:p>
        </w:tc>
        <w:tc>
          <w:tcPr>
            <w:tcW w:w="80" w:type="dxa"/>
            <w:vAlign w:val="bottom"/>
            <w:tcBorders>
              <w:top w:val="single" w:sz="8" w:color="CFF0FC"/>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5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Operating loss</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(157,109)</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line="152" w:lineRule="exact"/>
              <w:rPr>
                <w:sz w:val="20"/>
                <w:szCs w:val="20"/>
                <w:color w:val="auto"/>
              </w:rPr>
            </w:pPr>
            <w:r>
              <w:rPr>
                <w:rFonts w:ascii="Arial" w:cs="Arial" w:eastAsia="Arial" w:hAnsi="Arial"/>
                <w:sz w:val="14"/>
                <w:szCs w:val="14"/>
                <w:color w:val="auto"/>
              </w:rPr>
              <w:t>(137,021)</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(20,088)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500" w:type="dxa"/>
            <w:vAlign w:val="bottom"/>
            <w:tcBorders>
              <w:top w:val="single" w:sz="8" w:color="CFF0FC"/>
            </w:tcBorders>
          </w:tcPr>
          <w:p>
            <w:pPr>
              <w:spacing w:after="0" w:line="152" w:lineRule="exact"/>
              <w:rPr>
                <w:sz w:val="20"/>
                <w:szCs w:val="20"/>
                <w:color w:val="auto"/>
              </w:rPr>
            </w:pPr>
            <w:r>
              <w:rPr>
                <w:rFonts w:ascii="Arial" w:cs="Arial" w:eastAsia="Arial" w:hAnsi="Arial"/>
                <w:sz w:val="14"/>
                <w:szCs w:val="14"/>
                <w:color w:val="auto"/>
              </w:rPr>
              <w:t>Other income (expense), net:</w:t>
            </w:r>
          </w:p>
        </w:tc>
        <w:tc>
          <w:tcPr>
            <w:tcW w:w="6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income</w:t>
            </w: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6,348</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(2,141)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3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income (expense), net</w:t>
            </w: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1,204</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(302)</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vMerge w:val="continue"/>
          </w:tcPr>
          <w:p>
            <w:pPr>
              <w:spacing w:after="0"/>
              <w:rPr>
                <w:sz w:val="13"/>
                <w:szCs w:val="13"/>
                <w:color w:val="auto"/>
              </w:rPr>
            </w:pPr>
          </w:p>
        </w:tc>
        <w:tc>
          <w:tcPr>
            <w:tcW w:w="3500" w:type="dxa"/>
            <w:vAlign w:val="bottom"/>
          </w:tcPr>
          <w:p>
            <w:pPr>
              <w:spacing w:after="0" w:line="152" w:lineRule="exact"/>
              <w:rPr>
                <w:sz w:val="20"/>
                <w:szCs w:val="20"/>
                <w:color w:val="auto"/>
              </w:rPr>
            </w:pPr>
            <w:r>
              <w:rPr>
                <w:rFonts w:ascii="Arial" w:cs="Arial" w:eastAsia="Arial" w:hAnsi="Arial"/>
                <w:sz w:val="14"/>
                <w:szCs w:val="14"/>
                <w:color w:val="auto"/>
              </w:rPr>
              <w:t>Total other income, net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2" w:lineRule="exact"/>
              <w:rPr>
                <w:sz w:val="20"/>
                <w:szCs w:val="20"/>
                <w:color w:val="auto"/>
              </w:rPr>
            </w:pPr>
            <w:r>
              <w:rPr>
                <w:rFonts w:ascii="Arial" w:cs="Arial" w:eastAsia="Arial" w:hAnsi="Arial"/>
                <w:sz w:val="14"/>
                <w:szCs w:val="14"/>
                <w:color w:val="auto"/>
              </w:rPr>
              <w:t>7,535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Arial" w:cs="Arial" w:eastAsia="Arial" w:hAnsi="Arial"/>
                <w:sz w:val="14"/>
                <w:szCs w:val="14"/>
                <w:color w:val="auto"/>
              </w:rPr>
              <w:t>8,169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rPr>
              <w:t>(634)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vMerge w:val="continue"/>
          </w:tcPr>
          <w:p>
            <w:pPr>
              <w:spacing w:after="0"/>
              <w:rPr>
                <w:sz w:val="13"/>
                <w:szCs w:val="13"/>
                <w:color w:val="auto"/>
              </w:rPr>
            </w:pPr>
          </w:p>
        </w:tc>
        <w:tc>
          <w:tcPr>
            <w:tcW w:w="35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Loss before income taxes</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(149,574)</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line="152" w:lineRule="exact"/>
              <w:rPr>
                <w:sz w:val="20"/>
                <w:szCs w:val="20"/>
                <w:color w:val="auto"/>
              </w:rPr>
            </w:pPr>
            <w:r>
              <w:rPr>
                <w:rFonts w:ascii="Arial" w:cs="Arial" w:eastAsia="Arial" w:hAnsi="Arial"/>
                <w:sz w:val="14"/>
                <w:szCs w:val="14"/>
                <w:color w:val="auto"/>
              </w:rPr>
              <w:t>(128,852)</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(20,722)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vMerge w:val="continue"/>
          </w:tcPr>
          <w:p>
            <w:pPr>
              <w:spacing w:after="0"/>
              <w:rPr>
                <w:sz w:val="13"/>
                <w:szCs w:val="13"/>
                <w:color w:val="auto"/>
              </w:rPr>
            </w:pPr>
          </w:p>
        </w:tc>
        <w:tc>
          <w:tcPr>
            <w:tcW w:w="3500" w:type="dxa"/>
            <w:vAlign w:val="bottom"/>
          </w:tcPr>
          <w:p>
            <w:pPr>
              <w:spacing w:after="0" w:line="152" w:lineRule="exact"/>
              <w:rPr>
                <w:sz w:val="20"/>
                <w:szCs w:val="20"/>
                <w:color w:val="auto"/>
              </w:rPr>
            </w:pPr>
            <w:r>
              <w:rPr>
                <w:rFonts w:ascii="Arial" w:cs="Arial" w:eastAsia="Arial" w:hAnsi="Arial"/>
                <w:sz w:val="14"/>
                <w:szCs w:val="14"/>
                <w:color w:val="auto"/>
              </w:rPr>
              <w:t>Income tax (benefit) provision</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68"/>
              <w:spacing w:after="0" w:line="152" w:lineRule="exact"/>
              <w:rPr>
                <w:sz w:val="20"/>
                <w:szCs w:val="20"/>
                <w:color w:val="auto"/>
              </w:rPr>
            </w:pPr>
            <w:r>
              <w:rPr>
                <w:rFonts w:ascii="Arial" w:cs="Arial" w:eastAsia="Arial" w:hAnsi="Arial"/>
                <w:sz w:val="14"/>
                <w:szCs w:val="14"/>
                <w:color w:val="auto"/>
              </w:rPr>
              <w:t>(927)</w:t>
            </w:r>
          </w:p>
        </w:tc>
        <w:tc>
          <w:tcPr>
            <w:tcW w:w="22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Arial" w:cs="Arial" w:eastAsia="Arial" w:hAnsi="Arial"/>
                <w:sz w:val="14"/>
                <w:szCs w:val="14"/>
                <w:color w:val="auto"/>
              </w:rPr>
              <w:t>469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rPr>
              <w:t>(1,396)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0" w:type="dxa"/>
            <w:vAlign w:val="bottom"/>
            <w:vMerge w:val="continue"/>
          </w:tcPr>
          <w:p>
            <w:pPr>
              <w:spacing w:after="0"/>
              <w:rPr>
                <w:sz w:val="16"/>
                <w:szCs w:val="16"/>
                <w:color w:val="auto"/>
              </w:rPr>
            </w:pPr>
          </w:p>
        </w:tc>
        <w:tc>
          <w:tcPr>
            <w:tcW w:w="35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(148,647)</w:t>
            </w:r>
          </w:p>
        </w:tc>
        <w:tc>
          <w:tcPr>
            <w:tcW w:w="220" w:type="dxa"/>
            <w:vAlign w:val="bottom"/>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140"/>
              <w:spacing w:after="0" w:line="152" w:lineRule="exact"/>
              <w:rPr>
                <w:sz w:val="20"/>
                <w:szCs w:val="20"/>
                <w:color w:val="auto"/>
              </w:rPr>
            </w:pPr>
            <w:r>
              <w:rPr>
                <w:rFonts w:ascii="Arial" w:cs="Arial" w:eastAsia="Arial" w:hAnsi="Arial"/>
                <w:sz w:val="14"/>
                <w:szCs w:val="14"/>
                <w:color w:val="auto"/>
              </w:rPr>
              <w:t>(129,321)</w:t>
            </w:r>
          </w:p>
        </w:tc>
        <w:tc>
          <w:tcPr>
            <w:tcW w:w="16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(19,326)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35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jc w:val="right"/>
              <w:ind w:right="168"/>
              <w:spacing w:after="0"/>
              <w:rPr>
                <w:sz w:val="20"/>
                <w:szCs w:val="20"/>
                <w:color w:val="auto"/>
              </w:rPr>
            </w:pPr>
            <w:r>
              <w:rPr>
                <w:rFonts w:ascii="Arial" w:cs="Arial" w:eastAsia="Arial" w:hAnsi="Arial"/>
                <w:sz w:val="14"/>
                <w:szCs w:val="14"/>
                <w:color w:val="auto"/>
              </w:rPr>
              <w:t>81</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5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-1751965</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-1751965</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-1751965</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-1533525</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-1533525</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-1533525</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-1117600</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-1117600</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-1117600</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-899795</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-899795</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-899795</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-681355</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-667385</wp:posOffset>
            </wp:positionV>
            <wp:extent cx="476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-681355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-667385</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-681355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-667385</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5" w:name="page86"/>
    <w:bookmarkEnd w:id="8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Collaboration Revenue</w:t>
      </w:r>
    </w:p>
    <w:p>
      <w:pPr>
        <w:spacing w:after="0" w:line="84"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Collaboration revenue decreased by $1.5 million, or 33.5%, to $3.0 million for the year ended December 31, 2025 compared to $4.5 million for the year ended December 31, 2024. The decrease is related to the Company fulfilling all of its current obligations under the J&amp;J Agreement and the expiration of the Pfizer MTA in the year ended December 31, 2025. The Company recognized $2.5 million and $0.5 million of revenue during the year ended December 31, 2025 under the J&amp;J Agreement and Pfizer MTA, respectively, as compared to $4.0 million and $0.5 million of revenue recognized under the J&amp;J Agreement and Pfizer MTA, respectively, during the year ended December 31, 2024.</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Research and Development Expenses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following table summarizes our research and development expenses for the periods presented:</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8"/>
              <w:spacing w:after="0" w:line="152"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2"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48"/>
              <w:spacing w:after="0" w:line="152" w:lineRule="exact"/>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right"/>
              <w:ind w:right="568"/>
              <w:spacing w:after="0" w:line="152" w:lineRule="exact"/>
              <w:rPr>
                <w:sz w:val="20"/>
                <w:szCs w:val="20"/>
                <w:color w:val="auto"/>
              </w:rPr>
            </w:pPr>
            <w:r>
              <w:rPr>
                <w:rFonts w:ascii="Arial" w:cs="Arial" w:eastAsia="Arial" w:hAnsi="Arial"/>
                <w:sz w:val="14"/>
                <w:szCs w:val="14"/>
                <w:b w:val="1"/>
                <w:bCs w:val="1"/>
                <w:color w:val="auto"/>
                <w:w w:val="76"/>
              </w:rPr>
              <w:t>thousands)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80" w:type="dxa"/>
            <w:vAlign w:val="bottom"/>
            <w:tcBorders>
              <w:right w:val="single" w:sz="8" w:color="CFF0FC"/>
            </w:tcBorders>
            <w:shd w:val="clear" w:color="auto" w:fill="CFF0FC"/>
          </w:tcPr>
          <w:p>
            <w:pPr>
              <w:spacing w:after="0" w:line="147" w:lineRule="exact"/>
              <w:rPr>
                <w:sz w:val="20"/>
                <w:szCs w:val="20"/>
                <w:color w:val="auto"/>
              </w:rPr>
            </w:pPr>
            <w:r>
              <w:rPr>
                <w:rFonts w:ascii="Arial" w:cs="Arial" w:eastAsia="Arial" w:hAnsi="Arial"/>
                <w:sz w:val="14"/>
                <w:szCs w:val="14"/>
                <w:color w:val="auto"/>
              </w:rPr>
              <w:t>Internal personnel-related expenses (including stock-based</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40,411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41,581</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External expenses associated with preclinical and clinical studies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50,198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37,394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80" w:type="dxa"/>
            <w:vAlign w:val="bottom"/>
            <w:tcBorders>
              <w:right w:val="single" w:sz="8" w:color="CFF0FC"/>
            </w:tcBorders>
            <w:shd w:val="clear" w:color="auto" w:fill="CFF0FC"/>
          </w:tcPr>
          <w:p>
            <w:pPr>
              <w:spacing w:after="0" w:line="147" w:lineRule="exact"/>
              <w:rPr>
                <w:sz w:val="20"/>
                <w:szCs w:val="20"/>
                <w:color w:val="auto"/>
              </w:rPr>
            </w:pPr>
            <w:r>
              <w:rPr>
                <w:rFonts w:ascii="Arial" w:cs="Arial" w:eastAsia="Arial" w:hAnsi="Arial"/>
                <w:sz w:val="14"/>
                <w:szCs w:val="14"/>
                <w:color w:val="auto"/>
              </w:rPr>
              <w:t>Research software, professional services and laboratory</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operations</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14,342</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17,608</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Facility-related costs (including depreciation)</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15,996</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80" w:type="dxa"/>
            <w:vAlign w:val="bottom"/>
            <w:tcBorders>
              <w:right w:val="single" w:sz="8" w:color="CFF0FC"/>
            </w:tcBorders>
            <w:shd w:val="clear" w:color="auto" w:fill="CFF0FC"/>
          </w:tcPr>
          <w:p>
            <w:pPr>
              <w:spacing w:after="0" w:line="152" w:lineRule="exact"/>
              <w:rPr>
                <w:sz w:val="20"/>
                <w:szCs w:val="20"/>
                <w:color w:val="auto"/>
              </w:rPr>
            </w:pPr>
            <w:r>
              <w:rPr>
                <w:rFonts w:ascii="Arial" w:cs="Arial" w:eastAsia="Arial" w:hAnsi="Arial"/>
                <w:sz w:val="14"/>
                <w:szCs w:val="14"/>
                <w:color w:val="auto"/>
              </w:rPr>
              <w:t>Total research and development expenses</w:t>
            </w:r>
          </w:p>
        </w:tc>
        <w:tc>
          <w:tcPr>
            <w:tcW w:w="16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126,616</w:t>
            </w:r>
          </w:p>
        </w:tc>
        <w:tc>
          <w:tcPr>
            <w:tcW w:w="420" w:type="dxa"/>
            <w:vAlign w:val="bottom"/>
            <w:gridSpan w:val="2"/>
            <w:shd w:val="clear" w:color="auto" w:fill="CFF0F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112,579</w:t>
            </w:r>
          </w:p>
        </w:tc>
        <w:tc>
          <w:tcPr>
            <w:tcW w:w="340" w:type="dxa"/>
            <w:vAlign w:val="bottom"/>
            <w:gridSpan w:val="2"/>
            <w:shd w:val="clear" w:color="auto" w:fill="CFF0F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14,037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-19685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-6350</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-19685</wp:posOffset>
            </wp:positionV>
            <wp:extent cx="476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-6350</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99" w:firstLine="516"/>
        <w:spacing w:after="0" w:line="261" w:lineRule="auto"/>
        <w:rPr>
          <w:sz w:val="20"/>
          <w:szCs w:val="20"/>
          <w:color w:val="auto"/>
        </w:rPr>
      </w:pPr>
      <w:r>
        <w:rPr>
          <w:rFonts w:ascii="Arial" w:cs="Arial" w:eastAsia="Arial" w:hAnsi="Arial"/>
          <w:sz w:val="14"/>
          <w:szCs w:val="14"/>
          <w:color w:val="auto"/>
        </w:rPr>
        <w:t>Research and development expenses increased by $14.0 million, or 12.4%, to $ 126.6 million for the year ended December 31, 2025 compared to $112.6 million for the year ended December 31, 2024. This increase was primarily attributable to:</w:t>
      </w:r>
    </w:p>
    <w:p>
      <w:pPr>
        <w:spacing w:after="0" w:line="44" w:lineRule="exact"/>
        <w:rPr>
          <w:sz w:val="20"/>
          <w:szCs w:val="20"/>
          <w:color w:val="auto"/>
        </w:rPr>
      </w:pPr>
    </w:p>
    <w:p>
      <w:pPr>
        <w:ind w:left="1260" w:right="719" w:hanging="179"/>
        <w:spacing w:after="0" w:line="260" w:lineRule="auto"/>
        <w:tabs>
          <w:tab w:leader="none" w:pos="1260" w:val="left"/>
        </w:tabs>
        <w:numPr>
          <w:ilvl w:val="0"/>
          <w:numId w:val="53"/>
        </w:numPr>
        <w:rPr>
          <w:rFonts w:ascii="Times New Roman" w:cs="Times New Roman" w:eastAsia="Times New Roman" w:hAnsi="Times New Roman"/>
          <w:sz w:val="14"/>
          <w:szCs w:val="14"/>
          <w:color w:val="auto"/>
        </w:rPr>
      </w:pPr>
      <w:r>
        <w:rPr>
          <w:rFonts w:ascii="Arial" w:cs="Arial" w:eastAsia="Arial" w:hAnsi="Arial"/>
          <w:sz w:val="14"/>
          <w:szCs w:val="14"/>
          <w:color w:val="auto"/>
        </w:rPr>
        <w:t>a $12.8 million increase in external expenses associated with preclinical and clinical studies, primarily due to an increase in clinical research organization expenses and chemistry, manufacturing, and controls activities primarily associated with our ongoing phase 2a trial; and</w:t>
      </w:r>
    </w:p>
    <w:p>
      <w:pPr>
        <w:spacing w:after="0" w:line="45" w:lineRule="exact"/>
        <w:rPr>
          <w:rFonts w:ascii="Times New Roman" w:cs="Times New Roman" w:eastAsia="Times New Roman" w:hAnsi="Times New Roman"/>
          <w:sz w:val="14"/>
          <w:szCs w:val="14"/>
          <w:color w:val="auto"/>
        </w:rPr>
      </w:pPr>
    </w:p>
    <w:p>
      <w:pPr>
        <w:ind w:left="1260" w:right="919" w:hanging="179"/>
        <w:spacing w:after="0" w:line="281" w:lineRule="auto"/>
        <w:tabs>
          <w:tab w:leader="none" w:pos="1260" w:val="left"/>
        </w:tabs>
        <w:numPr>
          <w:ilvl w:val="0"/>
          <w:numId w:val="53"/>
        </w:numPr>
        <w:rPr>
          <w:rFonts w:ascii="Times New Roman" w:cs="Times New Roman" w:eastAsia="Times New Roman" w:hAnsi="Times New Roman"/>
          <w:sz w:val="14"/>
          <w:szCs w:val="14"/>
          <w:color w:val="auto"/>
        </w:rPr>
      </w:pPr>
      <w:r>
        <w:rPr>
          <w:rFonts w:ascii="Arial" w:cs="Arial" w:eastAsia="Arial" w:hAnsi="Arial"/>
          <w:sz w:val="14"/>
          <w:szCs w:val="14"/>
          <w:color w:val="auto"/>
        </w:rPr>
        <w:t>a $5.7 million increase in facility-related costs, primarily attributable to an impairment of our San Diego lease right-of-use asset.</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These increases were partially offset by:</w:t>
      </w:r>
    </w:p>
    <w:p>
      <w:pPr>
        <w:spacing w:after="0" w:line="86" w:lineRule="exact"/>
        <w:rPr>
          <w:sz w:val="20"/>
          <w:szCs w:val="20"/>
          <w:color w:val="auto"/>
        </w:rPr>
      </w:pPr>
    </w:p>
    <w:p>
      <w:pPr>
        <w:ind w:left="1260" w:right="739" w:hanging="179"/>
        <w:spacing w:after="0" w:line="260" w:lineRule="auto"/>
        <w:tabs>
          <w:tab w:leader="none" w:pos="1260" w:val="left"/>
        </w:tabs>
        <w:numPr>
          <w:ilvl w:val="0"/>
          <w:numId w:val="54"/>
        </w:numPr>
        <w:rPr>
          <w:rFonts w:ascii="Times New Roman" w:cs="Times New Roman" w:eastAsia="Times New Roman" w:hAnsi="Times New Roman"/>
          <w:sz w:val="14"/>
          <w:szCs w:val="14"/>
          <w:color w:val="auto"/>
        </w:rPr>
      </w:pPr>
      <w:r>
        <w:rPr>
          <w:rFonts w:ascii="Arial" w:cs="Arial" w:eastAsia="Arial" w:hAnsi="Arial"/>
          <w:sz w:val="14"/>
          <w:szCs w:val="14"/>
          <w:color w:val="auto"/>
        </w:rPr>
        <w:t>a $3.3 million decrease in research software, professional services and laboratory operations supporting our research and development programs, primarily due to the transition between preclinical studies and clinical trial programs; and</w:t>
      </w:r>
    </w:p>
    <w:p>
      <w:pPr>
        <w:spacing w:after="0" w:line="45" w:lineRule="exact"/>
        <w:rPr>
          <w:rFonts w:ascii="Times New Roman" w:cs="Times New Roman" w:eastAsia="Times New Roman" w:hAnsi="Times New Roman"/>
          <w:sz w:val="14"/>
          <w:szCs w:val="14"/>
          <w:color w:val="auto"/>
        </w:rPr>
      </w:pPr>
    </w:p>
    <w:p>
      <w:pPr>
        <w:ind w:left="1260" w:right="939" w:hanging="179"/>
        <w:spacing w:after="0" w:line="281" w:lineRule="auto"/>
        <w:tabs>
          <w:tab w:leader="none" w:pos="1260" w:val="left"/>
        </w:tabs>
        <w:numPr>
          <w:ilvl w:val="0"/>
          <w:numId w:val="54"/>
        </w:numPr>
        <w:rPr>
          <w:rFonts w:ascii="Times New Roman" w:cs="Times New Roman" w:eastAsia="Times New Roman" w:hAnsi="Times New Roman"/>
          <w:sz w:val="14"/>
          <w:szCs w:val="14"/>
          <w:color w:val="auto"/>
        </w:rPr>
      </w:pPr>
      <w:r>
        <w:rPr>
          <w:rFonts w:ascii="Arial" w:cs="Arial" w:eastAsia="Arial" w:hAnsi="Arial"/>
          <w:sz w:val="14"/>
          <w:szCs w:val="14"/>
          <w:color w:val="auto"/>
        </w:rPr>
        <w:t>a $1.2 million decrease in internal personnel-related expenses, primarily attributable to a lower headcount in 2025.</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4600" w:type="dxa"/>
            <w:vAlign w:val="bottom"/>
            <w:gridSpan w:val="2"/>
          </w:tcPr>
          <w:p>
            <w:pPr>
              <w:ind w:left="520"/>
              <w:spacing w:after="0"/>
              <w:rPr>
                <w:sz w:val="20"/>
                <w:szCs w:val="20"/>
                <w:color w:val="auto"/>
              </w:rPr>
            </w:pPr>
            <w:r>
              <w:rPr>
                <w:rFonts w:ascii="Arial" w:cs="Arial" w:eastAsia="Arial" w:hAnsi="Arial"/>
                <w:sz w:val="14"/>
                <w:szCs w:val="14"/>
                <w:i w:val="1"/>
                <w:iCs w:val="1"/>
                <w:color w:val="auto"/>
              </w:rPr>
              <w:t>General and Administrative Expenses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0" w:type="dxa"/>
            <w:vAlign w:val="bottom"/>
          </w:tcPr>
          <w:p>
            <w:pPr>
              <w:spacing w:after="0"/>
              <w:rPr>
                <w:sz w:val="19"/>
                <w:szCs w:val="19"/>
                <w:color w:val="auto"/>
              </w:rPr>
            </w:pPr>
          </w:p>
        </w:tc>
        <w:tc>
          <w:tcPr>
            <w:tcW w:w="6800" w:type="dxa"/>
            <w:vAlign w:val="bottom"/>
            <w:gridSpan w:val="9"/>
          </w:tcPr>
          <w:p>
            <w:pPr>
              <w:ind w:left="440"/>
              <w:spacing w:after="0"/>
              <w:rPr>
                <w:sz w:val="20"/>
                <w:szCs w:val="20"/>
                <w:color w:val="auto"/>
              </w:rPr>
            </w:pPr>
            <w:r>
              <w:rPr>
                <w:rFonts w:ascii="Arial" w:cs="Arial" w:eastAsia="Arial" w:hAnsi="Arial"/>
                <w:sz w:val="14"/>
                <w:szCs w:val="14"/>
                <w:color w:val="auto"/>
              </w:rPr>
              <w:t>The following table summarizes our general and administrative expenses for the periods presented: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6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8"/>
              <w:spacing w:after="0" w:line="152"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2"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48"/>
              <w:spacing w:after="0" w:line="152" w:lineRule="exact"/>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right"/>
              <w:ind w:right="568"/>
              <w:spacing w:after="0" w:line="152" w:lineRule="exact"/>
              <w:rPr>
                <w:sz w:val="20"/>
                <w:szCs w:val="20"/>
                <w:color w:val="auto"/>
              </w:rPr>
            </w:pPr>
            <w:r>
              <w:rPr>
                <w:rFonts w:ascii="Arial" w:cs="Arial" w:eastAsia="Arial" w:hAnsi="Arial"/>
                <w:sz w:val="14"/>
                <w:szCs w:val="14"/>
                <w:b w:val="1"/>
                <w:bCs w:val="1"/>
                <w:color w:val="auto"/>
                <w:w w:val="76"/>
              </w:rPr>
              <w:t>thousands)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4080" w:type="dxa"/>
            <w:vAlign w:val="bottom"/>
            <w:shd w:val="clear" w:color="auto" w:fill="CFF0FC"/>
          </w:tcPr>
          <w:p>
            <w:pPr>
              <w:spacing w:after="0" w:line="147" w:lineRule="exact"/>
              <w:rPr>
                <w:sz w:val="20"/>
                <w:szCs w:val="20"/>
                <w:color w:val="auto"/>
              </w:rPr>
            </w:pPr>
            <w:r>
              <w:rPr>
                <w:rFonts w:ascii="Arial" w:cs="Arial" w:eastAsia="Arial" w:hAnsi="Arial"/>
                <w:sz w:val="14"/>
                <w:szCs w:val="14"/>
                <w:color w:val="auto"/>
              </w:rPr>
              <w:t>Payroll and personnel-related expenses (including stock-based</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compensation)</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20,650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14,401</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6,249</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4"/>
                <w:szCs w:val="14"/>
                <w:color w:val="auto"/>
              </w:rPr>
              <w:t>Professional and consulting fees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13,152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8,383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4,769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Software and IT costs</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2,172</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2,204</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4"/>
                <w:szCs w:val="14"/>
                <w:color w:val="auto"/>
              </w:rPr>
              <w:t>Facility-related costs (including depreciation)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(170)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general and administrative expenses</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939</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4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vMerge w:val="continue"/>
          </w:tcPr>
          <w:p>
            <w:pPr>
              <w:spacing w:after="0"/>
              <w:rPr>
                <w:sz w:val="13"/>
                <w:szCs w:val="13"/>
                <w:color w:val="auto"/>
              </w:rPr>
            </w:pPr>
          </w:p>
        </w:tc>
        <w:tc>
          <w:tcPr>
            <w:tcW w:w="4080" w:type="dxa"/>
            <w:vAlign w:val="bottom"/>
          </w:tcPr>
          <w:p>
            <w:pPr>
              <w:spacing w:after="0" w:line="152" w:lineRule="exact"/>
              <w:rPr>
                <w:sz w:val="20"/>
                <w:szCs w:val="20"/>
                <w:color w:val="auto"/>
              </w:rPr>
            </w:pPr>
            <w:r>
              <w:rPr>
                <w:rFonts w:ascii="Arial" w:cs="Arial" w:eastAsia="Arial" w:hAnsi="Arial"/>
                <w:sz w:val="14"/>
                <w:szCs w:val="14"/>
                <w:color w:val="auto"/>
              </w:rPr>
              <w:t>Total general and administrative expenses</w:t>
            </w:r>
          </w:p>
        </w:tc>
        <w:tc>
          <w:tcPr>
            <w:tcW w:w="26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2" w:lineRule="exact"/>
              <w:rPr>
                <w:sz w:val="20"/>
                <w:szCs w:val="20"/>
                <w:color w:val="auto"/>
              </w:rPr>
            </w:pPr>
            <w:r>
              <w:rPr>
                <w:rFonts w:ascii="Arial" w:cs="Arial" w:eastAsia="Arial" w:hAnsi="Arial"/>
                <w:sz w:val="14"/>
                <w:szCs w:val="14"/>
                <w:color w:val="auto"/>
              </w:rPr>
              <w:t>37,516</w:t>
            </w:r>
          </w:p>
        </w:tc>
        <w:tc>
          <w:tcPr>
            <w:tcW w:w="42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2" w:lineRule="exact"/>
              <w:rPr>
                <w:sz w:val="20"/>
                <w:szCs w:val="20"/>
                <w:color w:val="auto"/>
              </w:rPr>
            </w:pPr>
            <w:r>
              <w:rPr>
                <w:rFonts w:ascii="Arial" w:cs="Arial" w:eastAsia="Arial" w:hAnsi="Arial"/>
                <w:sz w:val="14"/>
                <w:szCs w:val="14"/>
                <w:color w:val="auto"/>
              </w:rPr>
              <w:t>27,116</w:t>
            </w:r>
          </w:p>
        </w:tc>
        <w:tc>
          <w:tcPr>
            <w:tcW w:w="36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2" w:lineRule="exact"/>
              <w:rPr>
                <w:sz w:val="20"/>
                <w:szCs w:val="20"/>
                <w:color w:val="auto"/>
              </w:rPr>
            </w:pPr>
            <w:r>
              <w:rPr>
                <w:rFonts w:ascii="Arial" w:cs="Arial" w:eastAsia="Arial" w:hAnsi="Arial"/>
                <w:sz w:val="14"/>
                <w:szCs w:val="14"/>
                <w:color w:val="auto"/>
              </w:rPr>
              <w:t>10,400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5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-790575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-790575</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-790575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6" w:name="page87"/>
    <w:bookmarkEnd w:id="8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919" w:firstLine="516"/>
        <w:spacing w:after="0" w:line="261" w:lineRule="auto"/>
        <w:rPr>
          <w:sz w:val="20"/>
          <w:szCs w:val="20"/>
          <w:color w:val="auto"/>
        </w:rPr>
      </w:pPr>
      <w:r>
        <w:rPr>
          <w:rFonts w:ascii="Arial" w:cs="Arial" w:eastAsia="Arial" w:hAnsi="Arial"/>
          <w:sz w:val="14"/>
          <w:szCs w:val="14"/>
          <w:color w:val="auto"/>
        </w:rPr>
        <w:t>General and administrative expenses increased by $10.4 million, or 38.4%, to $37.5 million for the year ended December 31, 2025 compared to $27.1 million for the year ended December 31, 2024. This increase was primarily attributable to:</w:t>
      </w:r>
    </w:p>
    <w:p>
      <w:pPr>
        <w:spacing w:after="0" w:line="44" w:lineRule="exact"/>
        <w:rPr>
          <w:sz w:val="20"/>
          <w:szCs w:val="20"/>
          <w:color w:val="auto"/>
        </w:rPr>
      </w:pPr>
    </w:p>
    <w:p>
      <w:pPr>
        <w:ind w:left="1260" w:right="659" w:hanging="179"/>
        <w:spacing w:after="0" w:line="281" w:lineRule="auto"/>
        <w:tabs>
          <w:tab w:leader="none" w:pos="126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a $6.2 million increase in payroll and personnel-related expenses, primarily driven by an increase in stock-based compensation expense due to the granting of new stock options to new and existing employees; and</w:t>
      </w:r>
    </w:p>
    <w:p>
      <w:pPr>
        <w:spacing w:after="0" w:line="30" w:lineRule="exact"/>
        <w:rPr>
          <w:rFonts w:ascii="Times New Roman" w:cs="Times New Roman" w:eastAsia="Times New Roman" w:hAnsi="Times New Roman"/>
          <w:sz w:val="14"/>
          <w:szCs w:val="14"/>
          <w:color w:val="auto"/>
        </w:rPr>
      </w:pPr>
    </w:p>
    <w:p>
      <w:pPr>
        <w:ind w:left="1260" w:right="1319" w:hanging="179"/>
        <w:spacing w:after="0" w:line="281" w:lineRule="auto"/>
        <w:tabs>
          <w:tab w:leader="none" w:pos="126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a $4.8 million increase in professional and consulting fees, primarily driven by an increase in legal and accounting fees.</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These increases were partially offset by:</w:t>
      </w:r>
    </w:p>
    <w:p>
      <w:pPr>
        <w:spacing w:after="0" w:line="86" w:lineRule="exact"/>
        <w:rPr>
          <w:sz w:val="20"/>
          <w:szCs w:val="20"/>
          <w:color w:val="auto"/>
        </w:rPr>
      </w:pPr>
    </w:p>
    <w:p>
      <w:pPr>
        <w:ind w:left="1260" w:right="679" w:hanging="179"/>
        <w:spacing w:after="0" w:line="281" w:lineRule="auto"/>
        <w:tabs>
          <w:tab w:leader="none" w:pos="1260" w:val="left"/>
        </w:tabs>
        <w:numPr>
          <w:ilvl w:val="0"/>
          <w:numId w:val="56"/>
        </w:numPr>
        <w:rPr>
          <w:rFonts w:ascii="Times New Roman" w:cs="Times New Roman" w:eastAsia="Times New Roman" w:hAnsi="Times New Roman"/>
          <w:sz w:val="14"/>
          <w:szCs w:val="14"/>
          <w:color w:val="auto"/>
        </w:rPr>
      </w:pPr>
      <w:r>
        <w:rPr>
          <w:rFonts w:ascii="Arial" w:cs="Arial" w:eastAsia="Arial" w:hAnsi="Arial"/>
          <w:sz w:val="14"/>
          <w:szCs w:val="14"/>
          <w:color w:val="auto"/>
        </w:rPr>
        <w:t>a $0.4 million decrease in other general and administrative expense, primarily driven by a decrease in expenses related to investor relations; and</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6"/>
        </w:numPr>
        <w:rPr>
          <w:rFonts w:ascii="Times New Roman" w:cs="Times New Roman" w:eastAsia="Times New Roman" w:hAnsi="Times New Roman"/>
          <w:sz w:val="14"/>
          <w:szCs w:val="14"/>
          <w:color w:val="auto"/>
        </w:rPr>
      </w:pPr>
      <w:r>
        <w:rPr>
          <w:rFonts w:ascii="Arial" w:cs="Arial" w:eastAsia="Arial" w:hAnsi="Arial"/>
          <w:sz w:val="14"/>
          <w:szCs w:val="14"/>
          <w:color w:val="auto"/>
        </w:rPr>
        <w:t>a $0.2 million decrease in facility-related costs related to decreased rental and facility costs.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Changes in fair value of contingent consideration</w:t>
      </w:r>
    </w:p>
    <w:p>
      <w:pPr>
        <w:spacing w:after="0" w:line="84" w:lineRule="exact"/>
        <w:rPr>
          <w:sz w:val="20"/>
          <w:szCs w:val="20"/>
          <w:color w:val="auto"/>
        </w:rPr>
      </w:pPr>
    </w:p>
    <w:p>
      <w:pPr>
        <w:ind w:left="640" w:right="679" w:firstLine="516"/>
        <w:spacing w:after="0" w:line="250" w:lineRule="auto"/>
        <w:rPr>
          <w:sz w:val="20"/>
          <w:szCs w:val="20"/>
          <w:color w:val="auto"/>
        </w:rPr>
      </w:pPr>
      <w:r>
        <w:rPr>
          <w:rFonts w:ascii="Arial" w:cs="Arial" w:eastAsia="Arial" w:hAnsi="Arial"/>
          <w:sz w:val="14"/>
          <w:szCs w:val="14"/>
          <w:color w:val="auto"/>
        </w:rPr>
        <w:t>Changes in fair value of contingent consideration decreased by $5.8 million to expense of $4.0 million for the year ended December 31, 2025 compared to income of $1.8 million for the year ended December 31, 2024. The decrease was driven by changes in the assumptions management used in estimating the fair value of future payments that we may be obligated to make to IFM and Rahko, period over period, including the discount rate, timing of milestone events and probability of achieving the milestones.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Interest income</w:t>
      </w:r>
    </w:p>
    <w:p>
      <w:pPr>
        <w:spacing w:after="0" w:line="84"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Interest income decreased by $2.1 million to $6.3 million for the year ended December 31, 2025 compared to $8.5 million for the year ended December 31, 2024. The decrease primarily relates to a decline in accretion of discounts and amortization of premiums on our marketable securities due to less cash being invested, partially offset by an increase in interest earned on interest bearing cash and cash equivalent accounts as a result of the higher interest rate environment.</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Interest expense</w:t>
      </w:r>
    </w:p>
    <w:p>
      <w:pPr>
        <w:spacing w:after="0" w:line="84" w:lineRule="exact"/>
        <w:rPr>
          <w:sz w:val="20"/>
          <w:szCs w:val="20"/>
          <w:color w:val="auto"/>
        </w:rPr>
      </w:pPr>
    </w:p>
    <w:p>
      <w:pPr>
        <w:ind w:left="640" w:right="1079" w:firstLine="438"/>
        <w:spacing w:after="0" w:line="282" w:lineRule="auto"/>
        <w:rPr>
          <w:sz w:val="20"/>
          <w:szCs w:val="20"/>
          <w:color w:val="auto"/>
        </w:rPr>
      </w:pPr>
      <w:r>
        <w:rPr>
          <w:rFonts w:ascii="Arial" w:cs="Arial" w:eastAsia="Arial" w:hAnsi="Arial"/>
          <w:sz w:val="14"/>
          <w:szCs w:val="14"/>
          <w:color w:val="auto"/>
        </w:rPr>
        <w:t>Interest expense remained relatively flat for the year ended December 31, 2025 compared to the year ended December 31, 2024, attributable to interest on our finance leases for certain lab equipment.</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Other income (expense), net</w:t>
      </w:r>
    </w:p>
    <w:p>
      <w:pPr>
        <w:spacing w:after="0" w:line="84" w:lineRule="exact"/>
        <w:rPr>
          <w:sz w:val="20"/>
          <w:szCs w:val="20"/>
          <w:color w:val="auto"/>
        </w:rPr>
      </w:pPr>
    </w:p>
    <w:p>
      <w:pPr>
        <w:ind w:left="640" w:right="799" w:firstLine="438"/>
        <w:spacing w:after="0" w:line="254" w:lineRule="auto"/>
        <w:rPr>
          <w:sz w:val="20"/>
          <w:szCs w:val="20"/>
          <w:color w:val="auto"/>
        </w:rPr>
      </w:pPr>
      <w:r>
        <w:rPr>
          <w:rFonts w:ascii="Arial" w:cs="Arial" w:eastAsia="Arial" w:hAnsi="Arial"/>
          <w:sz w:val="14"/>
          <w:szCs w:val="14"/>
          <w:color w:val="auto"/>
        </w:rPr>
        <w:t>Other income (expense), net increased by $1.5 million to income of $ 1.2 million for the year ended December 31, 2025 compared to expense of $0.3 million for the year ended December 31, 2024. The increase primarily relates to the recognition of a refundable tax credit, a gain from the assignment of research and development assets and foreign currency transaction gains.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Income tax (benefit) provision</w:t>
      </w:r>
    </w:p>
    <w:p>
      <w:pPr>
        <w:spacing w:after="0" w:line="84" w:lineRule="exact"/>
        <w:rPr>
          <w:sz w:val="20"/>
          <w:szCs w:val="20"/>
          <w:color w:val="auto"/>
        </w:rPr>
      </w:pPr>
    </w:p>
    <w:p>
      <w:pPr>
        <w:ind w:left="640" w:right="739" w:firstLine="438"/>
        <w:spacing w:after="0" w:line="261" w:lineRule="auto"/>
        <w:rPr>
          <w:sz w:val="20"/>
          <w:szCs w:val="20"/>
          <w:color w:val="auto"/>
        </w:rPr>
      </w:pPr>
      <w:r>
        <w:rPr>
          <w:rFonts w:ascii="Arial" w:cs="Arial" w:eastAsia="Arial" w:hAnsi="Arial"/>
          <w:sz w:val="14"/>
          <w:szCs w:val="14"/>
          <w:color w:val="auto"/>
        </w:rPr>
        <w:t>Income tax (benefit) provision increased by $1.4 million to a tax benefit of $0.9 million for the year ended December 31, 2025 compared to an income tax expense of $0.5 million for the year ended December 31, 2024, primarily related to state income taxes and income taxes in foreign jurisdictions.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Liquidity and Capital Resources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84" w:lineRule="exact"/>
        <w:rPr>
          <w:sz w:val="20"/>
          <w:szCs w:val="20"/>
          <w:color w:val="auto"/>
        </w:rPr>
      </w:pPr>
    </w:p>
    <w:p>
      <w:pPr>
        <w:ind w:left="640" w:right="819" w:firstLine="438"/>
        <w:spacing w:after="0" w:line="248" w:lineRule="auto"/>
        <w:rPr>
          <w:sz w:val="20"/>
          <w:szCs w:val="20"/>
          <w:color w:val="auto"/>
        </w:rPr>
      </w:pPr>
      <w:r>
        <w:rPr>
          <w:rFonts w:ascii="Arial" w:cs="Arial" w:eastAsia="Arial" w:hAnsi="Arial"/>
          <w:sz w:val="14"/>
          <w:szCs w:val="14"/>
          <w:color w:val="auto"/>
        </w:rPr>
        <w:t>Since our inception, we have primarily funded our operations through the sale of shares of our convertible preferred stock and the proceeds from research collaborations and license agreements. We have not generated any revenue from product sales and have incurred significant annual operating losses and negative cash flows from our operations. We expect to incur significant expenses and operating losses in the foreseeable future as we advance the development of our product candidates. As of December 31, 2025, we had $216.6 million in cash, cash equivalents and marketable securities and an accumulated deficit of $568.1 million.</w:t>
      </w:r>
    </w:p>
    <w:p>
      <w:pPr>
        <w:spacing w:after="0" w:line="54" w:lineRule="exact"/>
        <w:rPr>
          <w:sz w:val="20"/>
          <w:szCs w:val="20"/>
          <w:color w:val="auto"/>
        </w:rPr>
      </w:pPr>
    </w:p>
    <w:p>
      <w:pPr>
        <w:jc w:val="both"/>
        <w:ind w:left="640" w:right="679" w:firstLine="438"/>
        <w:spacing w:after="0" w:line="261" w:lineRule="auto"/>
        <w:rPr>
          <w:sz w:val="20"/>
          <w:szCs w:val="20"/>
          <w:color w:val="auto"/>
        </w:rPr>
      </w:pPr>
      <w:r>
        <w:rPr>
          <w:rFonts w:ascii="Arial" w:cs="Arial" w:eastAsia="Arial" w:hAnsi="Arial"/>
          <w:sz w:val="14"/>
          <w:szCs w:val="14"/>
          <w:color w:val="auto"/>
        </w:rPr>
        <w:t>To date, we have raised aggregate gross proceeds of approximately $726.0 million from the sale of our securities. See “</w:t>
      </w:r>
      <w:r>
        <w:rPr>
          <w:rFonts w:ascii="Arial" w:cs="Arial" w:eastAsia="Arial" w:hAnsi="Arial"/>
          <w:sz w:val="14"/>
          <w:szCs w:val="14"/>
          <w:i w:val="1"/>
          <w:iCs w:val="1"/>
          <w:color w:val="auto"/>
        </w:rPr>
        <w:t>Certain Relationships and Related Person Transactions</w:t>
      </w:r>
      <w:r>
        <w:rPr>
          <w:rFonts w:ascii="Arial" w:cs="Arial" w:eastAsia="Arial" w:hAnsi="Arial"/>
          <w:sz w:val="14"/>
          <w:szCs w:val="14"/>
          <w:color w:val="auto"/>
        </w:rPr>
        <w:t>” for a description of our convertible preferred stock offerings and resulting proceeds.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Future Funding Requirements</w:t>
      </w:r>
    </w:p>
    <w:p>
      <w:pPr>
        <w:spacing w:after="0" w:line="84"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color w:val="auto"/>
        </w:rPr>
        <w:t>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incur costs associated with our efforts to discover new targets and engage in future collaborations, and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and development expenditures related to our discovery programs and general and administrative expenditures. Cash used to fund operating expenses is impacted by the timing of when we pay these expenses, as reflected in the change in our outstanding accounts payable, accrued expenses and other current liabilities and prepaid expenses.</w:t>
      </w:r>
    </w:p>
    <w:p>
      <w:pPr>
        <w:spacing w:after="0" w:line="57" w:lineRule="exact"/>
        <w:rPr>
          <w:sz w:val="20"/>
          <w:szCs w:val="20"/>
          <w:color w:val="auto"/>
        </w:rPr>
      </w:pPr>
    </w:p>
    <w:p>
      <w:pPr>
        <w:ind w:left="640" w:right="779" w:firstLine="438"/>
        <w:spacing w:after="0" w:line="282" w:lineRule="auto"/>
        <w:rPr>
          <w:sz w:val="20"/>
          <w:szCs w:val="20"/>
          <w:color w:val="auto"/>
        </w:rPr>
      </w:pPr>
      <w:r>
        <w:rPr>
          <w:rFonts w:ascii="Arial" w:cs="Arial" w:eastAsia="Arial" w:hAnsi="Arial"/>
          <w:sz w:val="14"/>
          <w:szCs w:val="14"/>
          <w:color w:val="auto"/>
        </w:rPr>
        <w:t>Our forecast of cash resources and planned operations involves risks and uncertainties, and the actual amount of expenses could vary materially as a result of a number of factors, including:</w:t>
      </w:r>
    </w:p>
    <w:p>
      <w:pPr>
        <w:spacing w:after="0" w:line="30" w:lineRule="exact"/>
        <w:rPr>
          <w:sz w:val="20"/>
          <w:szCs w:val="20"/>
          <w:color w:val="auto"/>
        </w:rPr>
      </w:pPr>
    </w:p>
    <w:p>
      <w:pPr>
        <w:ind w:left="1260" w:right="819" w:hanging="179"/>
        <w:spacing w:after="0" w:line="260"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scope, progress, results and costs of drug discovery, preclinical development, laboratory testing and planned clinical trials for our current or future product candidates, including additional expenses attributable to adjusting our development plans;</w:t>
      </w:r>
    </w:p>
    <w:p>
      <w:pPr>
        <w:spacing w:after="0" w:line="45"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scope, prioritization and number of our research and development programs and clinical trials required for regulatory approval of our current or future product candidates;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timing and outcome of regulatory review of our current or future product candidates;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 of manufacturing clinical and commercial supplies of our current or future product candidates;</w:t>
      </w:r>
    </w:p>
    <w:p>
      <w:pPr>
        <w:spacing w:after="0" w:line="96"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establish or maintain collaboration or license agreements and the achievement of milestones or occurrence of other developments that trigger payments under any existing or additional collaboration or license agreements;</w:t>
      </w:r>
    </w:p>
    <w:p>
      <w:pPr>
        <w:spacing w:after="0" w:line="45" w:lineRule="exact"/>
        <w:rPr>
          <w:rFonts w:ascii="Times New Roman" w:cs="Times New Roman" w:eastAsia="Times New Roman" w:hAnsi="Times New Roman"/>
          <w:sz w:val="14"/>
          <w:szCs w:val="14"/>
          <w:color w:val="auto"/>
        </w:rPr>
      </w:pPr>
    </w:p>
    <w:p>
      <w:pPr>
        <w:ind w:left="1260" w:right="739" w:hanging="179"/>
        <w:spacing w:after="0" w:line="260"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45" w:lineRule="exact"/>
        <w:rPr>
          <w:rFonts w:ascii="Times New Roman" w:cs="Times New Roman" w:eastAsia="Times New Roman" w:hAnsi="Times New Roman"/>
          <w:sz w:val="14"/>
          <w:szCs w:val="14"/>
          <w:color w:val="auto"/>
        </w:rPr>
      </w:pPr>
    </w:p>
    <w:p>
      <w:pPr>
        <w:ind w:left="1260" w:right="103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of preparing, filing and prosecuting patent applications, maintaining and enforcing our intellectual property rights and defending intellectual property-related claims;</w:t>
      </w:r>
    </w:p>
    <w:p>
      <w:pPr>
        <w:spacing w:after="0" w:line="30"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 of continuing to invest in our drug discovery efforts and tools designed to identify novel targets and drugs;</w:t>
      </w:r>
    </w:p>
    <w:p>
      <w:pPr>
        <w:spacing w:after="0" w:line="30" w:lineRule="exact"/>
        <w:rPr>
          <w:rFonts w:ascii="Times New Roman" w:cs="Times New Roman" w:eastAsia="Times New Roman" w:hAnsi="Times New Roman"/>
          <w:sz w:val="14"/>
          <w:szCs w:val="14"/>
          <w:color w:val="auto"/>
        </w:rPr>
      </w:pPr>
    </w:p>
    <w:p>
      <w:pPr>
        <w:ind w:left="1260" w:right="129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potential increase in the number of our employees or expansion of our physical facilities to support preclinical studies and clinical trials;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 associated with being a public company;</w:t>
      </w:r>
    </w:p>
    <w:p>
      <w:pPr>
        <w:spacing w:after="0" w:line="96" w:lineRule="exact"/>
        <w:rPr>
          <w:rFonts w:ascii="Times New Roman" w:cs="Times New Roman" w:eastAsia="Times New Roman" w:hAnsi="Times New Roman"/>
          <w:sz w:val="14"/>
          <w:szCs w:val="14"/>
          <w:color w:val="auto"/>
        </w:rPr>
      </w:pPr>
    </w:p>
    <w:p>
      <w:pPr>
        <w:ind w:left="1260" w:right="899" w:hanging="179"/>
        <w:spacing w:after="0" w:line="260"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of securing manufacturing arrangements for clinical and commercial production and establishing or contracting for sales and marketing capabilities, if we obtain regulatory clearances to market our current or future product candidates;</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effect of competing technological and market developments;</w:t>
      </w:r>
    </w:p>
    <w:p>
      <w:pPr>
        <w:spacing w:after="0" w:line="96" w:lineRule="exact"/>
        <w:rPr>
          <w:rFonts w:ascii="Times New Roman" w:cs="Times New Roman" w:eastAsia="Times New Roman" w:hAnsi="Times New Roman"/>
          <w:sz w:val="14"/>
          <w:szCs w:val="14"/>
          <w:color w:val="auto"/>
        </w:rPr>
      </w:pPr>
    </w:p>
    <w:p>
      <w:pPr>
        <w:ind w:left="1260" w:right="115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costs and timing of future commercialization activities, including manufacturing, marketing, sales and distribution, for any of our product candidates for which we receive marketing approval;</w:t>
      </w:r>
    </w:p>
    <w:p>
      <w:pPr>
        <w:spacing w:after="0" w:line="30" w:lineRule="exact"/>
        <w:rPr>
          <w:rFonts w:ascii="Times New Roman" w:cs="Times New Roman" w:eastAsia="Times New Roman" w:hAnsi="Times New Roman"/>
          <w:sz w:val="14"/>
          <w:szCs w:val="14"/>
          <w:color w:val="auto"/>
        </w:rPr>
      </w:pPr>
    </w:p>
    <w:p>
      <w:pPr>
        <w:ind w:left="1260" w:right="97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 of revenue, if any, received from commercial sales of our product candidates, should any of our product candidates receive marketing approval;</w:t>
      </w:r>
    </w:p>
    <w:p>
      <w:pPr>
        <w:spacing w:after="0" w:line="30" w:lineRule="exact"/>
        <w:rPr>
          <w:rFonts w:ascii="Times New Roman" w:cs="Times New Roman" w:eastAsia="Times New Roman" w:hAnsi="Times New Roman"/>
          <w:sz w:val="14"/>
          <w:szCs w:val="14"/>
          <w:color w:val="auto"/>
        </w:rPr>
      </w:pPr>
    </w:p>
    <w:p>
      <w:pPr>
        <w:ind w:left="1260" w:right="101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our ability to achieve sufficient market acceptance, coverage and adequate reimbursement from third-party payors and adequate market share and revenue for any approved products;</w:t>
      </w:r>
    </w:p>
    <w:p>
      <w:pPr>
        <w:spacing w:after="0" w:line="30" w:lineRule="exact"/>
        <w:rPr>
          <w:rFonts w:ascii="Times New Roman" w:cs="Times New Roman" w:eastAsia="Times New Roman" w:hAnsi="Times New Roman"/>
          <w:sz w:val="14"/>
          <w:szCs w:val="14"/>
          <w:color w:val="auto"/>
        </w:rPr>
      </w:pPr>
    </w:p>
    <w:p>
      <w:pPr>
        <w:ind w:left="1260" w:right="65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patients’ willingness to pay out-of-pocket for any approved products in the absence of coverage and/or adequate reimbursement from third-party payors; and</w:t>
      </w:r>
    </w:p>
    <w:p>
      <w:pPr>
        <w:spacing w:after="0" w:line="30" w:lineRule="exact"/>
        <w:rPr>
          <w:rFonts w:ascii="Times New Roman" w:cs="Times New Roman" w:eastAsia="Times New Roman" w:hAnsi="Times New Roman"/>
          <w:sz w:val="14"/>
          <w:szCs w:val="14"/>
          <w:color w:val="auto"/>
        </w:rPr>
      </w:pPr>
    </w:p>
    <w:p>
      <w:pPr>
        <w:ind w:left="1260" w:right="779" w:hanging="179"/>
        <w:spacing w:after="0" w:line="281" w:lineRule="auto"/>
        <w:tabs>
          <w:tab w:leader="none" w:pos="126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impact of inflation, as well as other factors, including economic uncertainty and geopolitical tensions, which may exacerbate the magnitude of the factors discussed above.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8" w:name="page89"/>
    <w:bookmarkEnd w:id="8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99" w:firstLine="438"/>
        <w:spacing w:after="0" w:line="282" w:lineRule="auto"/>
        <w:rPr>
          <w:sz w:val="20"/>
          <w:szCs w:val="20"/>
          <w:color w:val="auto"/>
        </w:rPr>
      </w:pPr>
      <w:r>
        <w:rPr>
          <w:rFonts w:ascii="Arial" w:cs="Arial" w:eastAsia="Arial" w:hAnsi="Arial"/>
          <w:sz w:val="14"/>
          <w:szCs w:val="14"/>
          <w:color w:val="auto"/>
        </w:rPr>
        <w:t>Furthermore, our operating plans may change, and we may need additional funds to meet operational needs and capital requirements for clinical trials and other research and development expenditures.</w:t>
      </w:r>
    </w:p>
    <w:p>
      <w:pPr>
        <w:spacing w:after="0" w:line="30" w:lineRule="exact"/>
        <w:rPr>
          <w:sz w:val="20"/>
          <w:szCs w:val="20"/>
          <w:color w:val="auto"/>
        </w:rPr>
      </w:pPr>
    </w:p>
    <w:p>
      <w:pPr>
        <w:ind w:left="640" w:right="699" w:firstLine="438"/>
        <w:spacing w:after="0" w:line="242" w:lineRule="auto"/>
        <w:rPr>
          <w:sz w:val="20"/>
          <w:szCs w:val="20"/>
          <w:color w:val="auto"/>
        </w:rPr>
      </w:pPr>
      <w:r>
        <w:rPr>
          <w:rFonts w:ascii="Arial" w:cs="Arial" w:eastAsia="Arial" w:hAnsi="Arial"/>
          <w:sz w:val="14"/>
          <w:szCs w:val="14"/>
          <w:color w:val="auto"/>
        </w:rPr>
        <w:t>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 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w:t>
      </w:r>
    </w:p>
    <w:p>
      <w:pPr>
        <w:spacing w:after="0" w:line="31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Cash Flows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Year ended December 31, 2025 and 2024</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following table summarizes our primary sources and uses of cash for the periods presented:</w:t>
      </w:r>
    </w:p>
    <w:p>
      <w:pPr>
        <w:spacing w:after="0" w:line="24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68"/>
              <w:spacing w:after="0" w:line="15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right"/>
              <w:ind w:right="488"/>
              <w:spacing w:after="0" w:line="152"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(129,468)</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(117,471)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(103,943)</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96,784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(200,727)</w:t>
            </w:r>
          </w:p>
        </w:tc>
        <w:tc>
          <w:tcPr>
            <w:tcW w:w="0" w:type="dxa"/>
            <w:vAlign w:val="bottom"/>
          </w:tcPr>
          <w:p>
            <w:pPr>
              <w:spacing w:after="0"/>
              <w:rPr>
                <w:sz w:val="1"/>
                <w:szCs w:val="1"/>
                <w:color w:val="auto"/>
              </w:rPr>
            </w:pPr>
          </w:p>
        </w:tc>
      </w:tr>
      <w:tr>
        <w:trPr>
          <w:trHeight w:val="161"/>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215,646</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26,979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188,667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line="131" w:lineRule="exact"/>
              <w:rPr>
                <w:sz w:val="20"/>
                <w:szCs w:val="20"/>
                <w:color w:val="auto"/>
              </w:rPr>
            </w:pPr>
            <w:r>
              <w:rPr>
                <w:rFonts w:ascii="Arial" w:cs="Arial" w:eastAsia="Arial" w:hAnsi="Arial"/>
                <w:sz w:val="14"/>
                <w:szCs w:val="14"/>
                <w:color w:val="auto"/>
              </w:rPr>
              <w:t>Effect of exchange rate changes on cash, cash equivalents, and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300" w:type="dxa"/>
            <w:vAlign w:val="bottom"/>
          </w:tcPr>
          <w:p>
            <w:pPr>
              <w:spacing w:after="0" w:line="181" w:lineRule="exact"/>
              <w:rPr>
                <w:sz w:val="20"/>
                <w:szCs w:val="20"/>
                <w:color w:val="auto"/>
              </w:rPr>
            </w:pPr>
            <w:r>
              <w:rPr>
                <w:rFonts w:ascii="Arial" w:cs="Arial" w:eastAsia="Arial" w:hAnsi="Arial"/>
                <w:sz w:val="14"/>
                <w:szCs w:val="14"/>
                <w:color w:val="auto"/>
              </w:rPr>
              <w:t xml:space="preserve">restricted cash </w:t>
            </w:r>
            <w:r>
              <w:rPr>
                <w:rFonts w:ascii="Arial" w:cs="Arial" w:eastAsia="Arial" w:hAnsi="Arial"/>
                <w:sz w:val="19"/>
                <w:szCs w:val="19"/>
                <w:color w:val="auto"/>
                <w:vertAlign w:val="superscript"/>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Increase (decrease) in cash, cash equivalents and restricted cash</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(17,449)</w:t>
            </w:r>
          </w:p>
        </w:tc>
        <w:tc>
          <w:tcPr>
            <w:tcW w:w="200" w:type="dxa"/>
            <w:vAlign w:val="bottom"/>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6,342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(23,791)</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-19685</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-6350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-19685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-6350</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jc w:val="both"/>
        <w:ind w:left="640" w:right="659" w:hanging="2"/>
        <w:spacing w:after="0" w:line="213" w:lineRule="auto"/>
        <w:tabs>
          <w:tab w:leader="none" w:pos="839" w:val="left"/>
        </w:tabs>
        <w:numPr>
          <w:ilvl w:val="0"/>
          <w:numId w:val="58"/>
        </w:numPr>
        <w:rPr>
          <w:rFonts w:ascii="Arial" w:cs="Arial" w:eastAsia="Arial" w:hAnsi="Arial"/>
          <w:sz w:val="23"/>
          <w:szCs w:val="23"/>
          <w:color w:val="auto"/>
          <w:vertAlign w:val="superscript"/>
        </w:rPr>
      </w:pPr>
      <w:r>
        <w:rPr>
          <w:rFonts w:ascii="Arial" w:cs="Arial" w:eastAsia="Arial" w:hAnsi="Arial"/>
          <w:sz w:val="14"/>
          <w:szCs w:val="14"/>
          <w:color w:val="auto"/>
        </w:rPr>
        <w:t>The balance sheet is affected by spot exchange rates used to translate local currency amounts into U.S. dollars. In accordance with generally accepted accounting principles in the United States, or GAAP, we have eliminated the effect of foreign currency throughout our cash flow statement, except for its effect on our cash and cash equivalents.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Operating Activities</w:t>
      </w:r>
    </w:p>
    <w:p>
      <w:pPr>
        <w:spacing w:after="0" w:line="84" w:lineRule="exact"/>
        <w:rPr>
          <w:sz w:val="20"/>
          <w:szCs w:val="20"/>
          <w:color w:val="auto"/>
        </w:rPr>
      </w:pPr>
    </w:p>
    <w:p>
      <w:pPr>
        <w:ind w:left="640" w:right="799" w:firstLine="438"/>
        <w:spacing w:after="0" w:line="261" w:lineRule="auto"/>
        <w:rPr>
          <w:sz w:val="20"/>
          <w:szCs w:val="20"/>
          <w:color w:val="auto"/>
        </w:rPr>
      </w:pPr>
      <w:r>
        <w:rPr>
          <w:rFonts w:ascii="Arial" w:cs="Arial" w:eastAsia="Arial" w:hAnsi="Arial"/>
          <w:sz w:val="14"/>
          <w:szCs w:val="14"/>
          <w:color w:val="auto"/>
        </w:rPr>
        <w:t>Net cash used in operating activities for the year ended December 31, 2025 was $129.5 million, primarily consisting of our net loss of $148.6 million and net changes in operating assets and liabilities of $4.6 million, which were partially offset by adjustments to reconcile net loss to net cash used in operating activities of $23.9 million.</w:t>
      </w:r>
    </w:p>
    <w:p>
      <w:pPr>
        <w:spacing w:after="0" w:line="44" w:lineRule="exact"/>
        <w:rPr>
          <w:sz w:val="20"/>
          <w:szCs w:val="20"/>
          <w:color w:val="auto"/>
        </w:rPr>
      </w:pPr>
    </w:p>
    <w:p>
      <w:pPr>
        <w:ind w:left="640" w:right="799" w:firstLine="438"/>
        <w:spacing w:after="0" w:line="261" w:lineRule="auto"/>
        <w:rPr>
          <w:sz w:val="20"/>
          <w:szCs w:val="20"/>
          <w:color w:val="auto"/>
        </w:rPr>
      </w:pPr>
      <w:r>
        <w:rPr>
          <w:rFonts w:ascii="Arial" w:cs="Arial" w:eastAsia="Arial" w:hAnsi="Arial"/>
          <w:sz w:val="14"/>
          <w:szCs w:val="14"/>
          <w:color w:val="auto"/>
        </w:rPr>
        <w:t>Net cash used in operating activities for the year ended December 31, 2024 was $117.5 million, primarily consisting of our net loss of $129.3 million and net changes in operating assets and liabilities of $3.3 million, which were partially offset by adjustments to reconcile net loss to net cash used in operating activities of $15.1 million.</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Investing Activities</w:t>
      </w:r>
    </w:p>
    <w:p>
      <w:pPr>
        <w:spacing w:after="0" w:line="84" w:lineRule="exact"/>
        <w:rPr>
          <w:sz w:val="20"/>
          <w:szCs w:val="20"/>
          <w:color w:val="auto"/>
        </w:rPr>
      </w:pPr>
    </w:p>
    <w:p>
      <w:pPr>
        <w:ind w:left="640" w:right="679" w:firstLine="438"/>
        <w:spacing w:after="0" w:line="254" w:lineRule="auto"/>
        <w:rPr>
          <w:sz w:val="20"/>
          <w:szCs w:val="20"/>
          <w:color w:val="auto"/>
        </w:rPr>
      </w:pPr>
      <w:r>
        <w:rPr>
          <w:rFonts w:ascii="Arial" w:cs="Arial" w:eastAsia="Arial" w:hAnsi="Arial"/>
          <w:sz w:val="14"/>
          <w:szCs w:val="14"/>
          <w:color w:val="auto"/>
        </w:rPr>
        <w:t>Net cash used in investing activities for the year ended December 31, 2025 was $103.9 million, primarily consisting of purchases of marketable securities of $209.0 million and purchases of property and equipment of $1.2 million, which were partially offset by the maturity of $105.9 million marketable securities and proceeds from the sale of property and equipment of $0.4 million.</w:t>
      </w:r>
    </w:p>
    <w:p>
      <w:pPr>
        <w:spacing w:after="0" w:line="49" w:lineRule="exact"/>
        <w:rPr>
          <w:sz w:val="20"/>
          <w:szCs w:val="20"/>
          <w:color w:val="auto"/>
        </w:rPr>
      </w:pPr>
    </w:p>
    <w:p>
      <w:pPr>
        <w:ind w:left="640" w:right="779" w:firstLine="438"/>
        <w:spacing w:after="0" w:line="261" w:lineRule="auto"/>
        <w:rPr>
          <w:sz w:val="20"/>
          <w:szCs w:val="20"/>
          <w:color w:val="auto"/>
        </w:rPr>
      </w:pPr>
      <w:r>
        <w:rPr>
          <w:rFonts w:ascii="Arial" w:cs="Arial" w:eastAsia="Arial" w:hAnsi="Arial"/>
          <w:sz w:val="14"/>
          <w:szCs w:val="14"/>
          <w:color w:val="auto"/>
        </w:rPr>
        <w:t>Net cash provided by investing activities for the year ended December 31, 2024 was $96.8 million, primarily consisting of maturities of marketable securities of $150.2 million, which were partially offset by purchases of marketable securities of $52.6 million and purchases of property and equipment of $0.8 million.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9" w:name="page90"/>
    <w:bookmarkEnd w:id="8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Financing Activities</w:t>
      </w:r>
    </w:p>
    <w:p>
      <w:pPr>
        <w:spacing w:after="0" w:line="84" w:lineRule="exact"/>
        <w:rPr>
          <w:sz w:val="20"/>
          <w:szCs w:val="20"/>
          <w:color w:val="auto"/>
        </w:rPr>
      </w:pPr>
    </w:p>
    <w:p>
      <w:pPr>
        <w:ind w:left="640" w:right="919" w:firstLine="438"/>
        <w:spacing w:after="0" w:line="254" w:lineRule="auto"/>
        <w:rPr>
          <w:sz w:val="20"/>
          <w:szCs w:val="20"/>
          <w:color w:val="auto"/>
        </w:rPr>
      </w:pPr>
      <w:r>
        <w:rPr>
          <w:rFonts w:ascii="Arial" w:cs="Arial" w:eastAsia="Arial" w:hAnsi="Arial"/>
          <w:sz w:val="14"/>
          <w:szCs w:val="14"/>
          <w:color w:val="auto"/>
        </w:rPr>
        <w:t>Net cash provided by financing activities for the year ended December 31, 2025 was $215.6 million, primarily consisting of approximately $212.5 million in net proceeds received from the sale of shares of our Series D convertible preferred stock and approximately $3.1 million and $0.1 million in net proceeds received from the exercise of common stock options and common stock warrants, respectively.</w:t>
      </w:r>
    </w:p>
    <w:p>
      <w:pPr>
        <w:spacing w:after="0" w:line="49"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Net cash provided by financing activities for the year ended December 31, 2024 was $27.0 million, primarily consisting of approximately $27.5 million in net proceeds received from the sale of shares of our Series C and Series C-1 convertible preferred stock and approximately $0.5 million in net proceeds received from the exercise of stock options, which was partially offset by payment of offering costs of $1.0 million.</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License and Collaboration Agreement</w:t>
      </w:r>
    </w:p>
    <w:p>
      <w:pPr>
        <w:spacing w:after="0" w:line="86" w:lineRule="exact"/>
        <w:rPr>
          <w:sz w:val="20"/>
          <w:szCs w:val="20"/>
          <w:color w:val="auto"/>
        </w:rPr>
      </w:pPr>
    </w:p>
    <w:p>
      <w:pPr>
        <w:ind w:left="640" w:right="939" w:firstLine="438"/>
        <w:spacing w:after="0" w:line="282" w:lineRule="auto"/>
        <w:rPr>
          <w:sz w:val="20"/>
          <w:szCs w:val="20"/>
          <w:color w:val="auto"/>
        </w:rPr>
      </w:pPr>
      <w:r>
        <w:rPr>
          <w:rFonts w:ascii="Arial" w:cs="Arial" w:eastAsia="Arial" w:hAnsi="Arial"/>
          <w:sz w:val="14"/>
          <w:szCs w:val="14"/>
          <w:color w:val="auto"/>
        </w:rPr>
        <w:t>Below is a summary of the key terms for our material license and collaboration agreement. For a more detailed description, see the section of this prospectus titled “Business—License and Collaboration Agreement.”</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Terray Collaboration</w:t>
      </w:r>
    </w:p>
    <w:p>
      <w:pPr>
        <w:spacing w:after="0" w:line="84" w:lineRule="exact"/>
        <w:rPr>
          <w:sz w:val="20"/>
          <w:szCs w:val="20"/>
          <w:color w:val="auto"/>
        </w:rPr>
      </w:pPr>
    </w:p>
    <w:p>
      <w:pPr>
        <w:ind w:left="640" w:right="679" w:firstLine="438"/>
        <w:spacing w:after="0" w:line="245" w:lineRule="auto"/>
        <w:rPr>
          <w:sz w:val="20"/>
          <w:szCs w:val="20"/>
          <w:color w:val="auto"/>
        </w:rPr>
      </w:pPr>
      <w:r>
        <w:rPr>
          <w:rFonts w:ascii="Arial" w:cs="Arial" w:eastAsia="Arial" w:hAnsi="Arial"/>
          <w:sz w:val="14"/>
          <w:szCs w:val="14"/>
          <w:color w:val="auto"/>
        </w:rPr>
        <w:t>In September 2024, we entered into a collaboration and license agreement, or the Terray Agreement, with Terray Therapeutics, Inc., or Terray, to discover, develop and commercialize or out-license products directed to IRF5. 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 The activities performed under the Terray Agreement are governed by a joint steering committee, made up of two employees designated by each party. No upfront payments were made upon the execution of the Terray Agreement and there have not been any payments made or received from the profit and loss share arrangement under the Terray Agreement as of December 31, 2025.</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Leases</w:t>
      </w:r>
    </w:p>
    <w:p>
      <w:pPr>
        <w:spacing w:after="0" w:line="84" w:lineRule="exact"/>
        <w:rPr>
          <w:sz w:val="20"/>
          <w:szCs w:val="20"/>
          <w:color w:val="auto"/>
        </w:rPr>
      </w:pPr>
    </w:p>
    <w:p>
      <w:pPr>
        <w:ind w:left="640" w:right="739" w:firstLine="438"/>
        <w:spacing w:after="0" w:line="247" w:lineRule="auto"/>
        <w:rPr>
          <w:sz w:val="20"/>
          <w:szCs w:val="20"/>
          <w:color w:val="auto"/>
        </w:rPr>
      </w:pPr>
      <w:r>
        <w:rPr>
          <w:rFonts w:ascii="Arial" w:cs="Arial" w:eastAsia="Arial" w:hAnsi="Arial"/>
          <w:sz w:val="14"/>
          <w:szCs w:val="14"/>
          <w:color w:val="auto"/>
        </w:rPr>
        <w:t>In September 2021, we entered into an operating lease agreement for our corporate headquarters located in Boston, Massachusetts, expiring in September 2029. We are also party to several operating leases for office and lab space, as well as finance leases for certain lab equipment. As of December 31, 2025, our non-cancellable lease obligations were $33.3 million and $0.4 million under our operating and finance leases, respectively, of which $ 7.5 million and $0.1 million related to operating and finance leases, respectively, are due within the next 12 months. Refer to Note 9 to our audited consolidated financial statements included elsewhere in this prospectus for more information on our lease obligations.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Purchase and Other Obligations</w:t>
      </w:r>
    </w:p>
    <w:p>
      <w:pPr>
        <w:spacing w:after="0" w:line="84" w:lineRule="exact"/>
        <w:rPr>
          <w:sz w:val="20"/>
          <w:szCs w:val="20"/>
          <w:color w:val="auto"/>
        </w:rPr>
      </w:pPr>
    </w:p>
    <w:p>
      <w:pPr>
        <w:ind w:left="640" w:right="739" w:firstLine="438"/>
        <w:spacing w:after="0" w:line="251" w:lineRule="auto"/>
        <w:rPr>
          <w:sz w:val="20"/>
          <w:szCs w:val="20"/>
          <w:color w:val="auto"/>
        </w:rPr>
      </w:pPr>
      <w:r>
        <w:rPr>
          <w:rFonts w:ascii="Arial" w:cs="Arial" w:eastAsia="Arial" w:hAnsi="Arial"/>
          <w:sz w:val="14"/>
          <w:szCs w:val="14"/>
          <w:color w:val="auto"/>
        </w:rPr>
        <w:t>We enter into contracts in the normal course of business with CROs for clinical trials, with CMOs for clinical manufacturing supplies and with other vendors for preclinical studies, supplies and other products and services for operating purposes. These agreements generally provide for termination at the request of either party with 30 to 90 days’ prior written notice and, therefore, we believe that our non-cancellable obligations under these agreements are not material. We do not currently expect any of these agreements to be terminated and did not have any non-cancellable obligations under these agreements as of December 31, 2025.</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IFM Acquisition Contingent Consideration</w:t>
      </w:r>
    </w:p>
    <w:p>
      <w:pPr>
        <w:spacing w:after="0" w:line="84" w:lineRule="exact"/>
        <w:rPr>
          <w:sz w:val="20"/>
          <w:szCs w:val="20"/>
          <w:color w:val="auto"/>
        </w:rPr>
      </w:pPr>
    </w:p>
    <w:p>
      <w:pPr>
        <w:ind w:left="640" w:right="679" w:firstLine="438"/>
        <w:spacing w:after="0" w:line="246" w:lineRule="auto"/>
        <w:rPr>
          <w:sz w:val="20"/>
          <w:szCs w:val="20"/>
          <w:color w:val="auto"/>
        </w:rPr>
      </w:pPr>
      <w:r>
        <w:rPr>
          <w:rFonts w:ascii="Arial" w:cs="Arial" w:eastAsia="Arial" w:hAnsi="Arial"/>
          <w:sz w:val="14"/>
          <w:szCs w:val="14"/>
          <w:color w:val="auto"/>
        </w:rPr>
        <w:t>On May 6, 2022, we acquired all of the membership interests in IFM, or the IFM Acquisition. The total purchase consideration was $3.1 million, which consisted of the following: (i) 81,240 shares of our non-voting common stock at closing, with the estimated fair value of $0.2 million, (ii) cash consideration of $0.9 million at closing, (iii) a deferred payment of $0.9 million, which was paid in June 2022 and (iv) contingent consideration in cash of up to $30.0 million, payable once for each of our NLR family pyrin domain containing 1 and melanoma differentiation-associated protein 5 programs upon the first achievement of certain development, commercial, regulatory and sales milestones related to each such program, the estimated fair value of which was determined to be $1.1 million on the acquisition date. As of December 31, 2025, no milestones had been achieved or were deemed probable to occur.</w:t>
      </w:r>
    </w:p>
    <w:p>
      <w:pPr>
        <w:spacing w:after="0" w:line="54" w:lineRule="exact"/>
        <w:rPr>
          <w:sz w:val="20"/>
          <w:szCs w:val="20"/>
          <w:color w:val="auto"/>
        </w:rPr>
      </w:pPr>
    </w:p>
    <w:p>
      <w:pPr>
        <w:ind w:left="640" w:right="719" w:firstLine="438"/>
        <w:spacing w:after="0" w:line="282" w:lineRule="auto"/>
        <w:rPr>
          <w:sz w:val="20"/>
          <w:szCs w:val="20"/>
          <w:color w:val="auto"/>
        </w:rPr>
      </w:pPr>
      <w:r>
        <w:rPr>
          <w:rFonts w:ascii="Arial" w:cs="Arial" w:eastAsia="Arial" w:hAnsi="Arial"/>
          <w:sz w:val="14"/>
          <w:szCs w:val="14"/>
          <w:color w:val="auto"/>
        </w:rPr>
        <w:t>See Note 5 and Note 14 to our audited consolidated financial statements included elsewhere in this prospectus for additional details.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0" w:name="page91"/>
    <w:bookmarkEnd w:id="9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Rahko Acquisition Contingent Consideration</w:t>
      </w:r>
    </w:p>
    <w:p>
      <w:pPr>
        <w:spacing w:after="0" w:line="84" w:lineRule="exact"/>
        <w:rPr>
          <w:sz w:val="20"/>
          <w:szCs w:val="20"/>
          <w:color w:val="auto"/>
        </w:rPr>
      </w:pPr>
    </w:p>
    <w:p>
      <w:pPr>
        <w:ind w:left="640" w:right="719" w:firstLine="438"/>
        <w:spacing w:after="0" w:line="243" w:lineRule="auto"/>
        <w:rPr>
          <w:sz w:val="20"/>
          <w:szCs w:val="20"/>
          <w:color w:val="auto"/>
        </w:rPr>
      </w:pPr>
      <w:r>
        <w:rPr>
          <w:rFonts w:ascii="Arial" w:cs="Arial" w:eastAsia="Arial" w:hAnsi="Arial"/>
          <w:sz w:val="14"/>
          <w:szCs w:val="14"/>
          <w:color w:val="auto"/>
        </w:rPr>
        <w:t>On October 6, 2021, we entered into the Rahko Purchase Agreements to purchase all of the issued share capital of Rahko, or the Rahko Acquisition, in exchange for a combination of cash, shares of our capital stock and additional contingent consideration of up to approximately $ 30.0 million. The contingent consideration would become payable to the former shareholders of Rahko upon either: (i) the first occurrence of our total market capitalization equaling or exceeding $1.5 billion based on a five-day volume-weighted average price of our publicly traded shares following the first public offering or public listing of our shares pursuant to applicable registration requirements on the New York Stock Exchange, the Nasdaq Global Select Market, the Nasdaq Global Market, the stock exchanges of Toronto, London or any other recognized investment exchange, or (ii) an exit event such as (1) a transaction or series of transactions in which any person (or persons acting in concert), other than a person who immediately prior to such transaction owned more than a majority of our voting securities, acquires more than 50% of the combined voting power of our then outstanding voting securities, (2) our consolidation or merger with or into another entity unless our stockholders immediately prior to such transaction continue to own, directly or indirectly, a majority of the combined voting power of the outstanding voting securities of the combined company, or (3) the sale or disposition of all or substantially all of our assets, in each case for which the potential proceeds are equal to or greater than $1.5 billion.</w:t>
      </w:r>
    </w:p>
    <w:p>
      <w:pPr>
        <w:spacing w:after="0" w:line="59" w:lineRule="exact"/>
        <w:rPr>
          <w:sz w:val="20"/>
          <w:szCs w:val="20"/>
          <w:color w:val="auto"/>
        </w:rPr>
      </w:pPr>
    </w:p>
    <w:p>
      <w:pPr>
        <w:ind w:left="640" w:right="1059" w:firstLine="438"/>
        <w:spacing w:after="0" w:line="282" w:lineRule="auto"/>
        <w:rPr>
          <w:sz w:val="20"/>
          <w:szCs w:val="20"/>
          <w:color w:val="auto"/>
        </w:rPr>
      </w:pPr>
      <w:r>
        <w:rPr>
          <w:rFonts w:ascii="Arial" w:cs="Arial" w:eastAsia="Arial" w:hAnsi="Arial"/>
          <w:sz w:val="14"/>
          <w:szCs w:val="14"/>
          <w:color w:val="auto"/>
        </w:rPr>
        <w:t>See Note 5 and 14 to our audited consolidated financial statements included elsewhere in this prospectus for additional details.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Critical Accounting Estimates</w:t>
      </w:r>
    </w:p>
    <w:p>
      <w:pPr>
        <w:spacing w:after="0" w:line="86" w:lineRule="exact"/>
        <w:rPr>
          <w:sz w:val="20"/>
          <w:szCs w:val="20"/>
          <w:color w:val="auto"/>
        </w:rPr>
      </w:pPr>
    </w:p>
    <w:p>
      <w:pPr>
        <w:ind w:left="640" w:right="659" w:firstLine="438"/>
        <w:spacing w:after="0" w:line="243"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revenue recognition, accrued research and development costs, stock-based compensation expense, and determination of the fair value of contingent consideration.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61" w:lineRule="exact"/>
        <w:rPr>
          <w:sz w:val="20"/>
          <w:szCs w:val="20"/>
          <w:color w:val="auto"/>
        </w:rPr>
      </w:pPr>
    </w:p>
    <w:p>
      <w:pPr>
        <w:ind w:left="640" w:right="799" w:firstLine="438"/>
        <w:spacing w:after="0" w:line="261" w:lineRule="auto"/>
        <w:rPr>
          <w:sz w:val="20"/>
          <w:szCs w:val="20"/>
          <w:color w:val="auto"/>
        </w:rPr>
      </w:pPr>
      <w:r>
        <w:rPr>
          <w:rFonts w:ascii="Arial" w:cs="Arial" w:eastAsia="Arial" w:hAnsi="Arial"/>
          <w:sz w:val="14"/>
          <w:szCs w:val="14"/>
          <w:color w:val="auto"/>
        </w:rPr>
        <w:t>Although our significant accounting policies are described in more detail in Note 2 to our audited consolidated financial statements included elsewhere in this prospectus, we believe that the following accounting estimates are those most critical to the judgments and estimates used in the preparation of our financial statements.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84" w:lineRule="exact"/>
        <w:rPr>
          <w:sz w:val="20"/>
          <w:szCs w:val="20"/>
          <w:color w:val="auto"/>
        </w:rPr>
      </w:pPr>
    </w:p>
    <w:p>
      <w:pPr>
        <w:ind w:left="640" w:right="679" w:firstLine="438"/>
        <w:spacing w:after="0" w:line="250" w:lineRule="auto"/>
        <w:rPr>
          <w:sz w:val="20"/>
          <w:szCs w:val="20"/>
          <w:color w:val="auto"/>
        </w:rPr>
      </w:pPr>
      <w:r>
        <w:rPr>
          <w:rFonts w:ascii="Arial" w:cs="Arial" w:eastAsia="Arial" w:hAnsi="Arial"/>
          <w:sz w:val="14"/>
          <w:szCs w:val="14"/>
          <w:color w:val="auto"/>
        </w:rPr>
        <w:t xml:space="preserve">To date, our revenues have consisted of payments received related to our collaboration and license agreements. We apply the revenue recognition guidance in accordance with the Financial Accounting Standards Board, or FASB, Accounting Standards Codification, or ASC, Topic 606, </w:t>
      </w:r>
      <w:r>
        <w:rPr>
          <w:rFonts w:ascii="Arial" w:cs="Arial" w:eastAsia="Arial" w:hAnsi="Arial"/>
          <w:sz w:val="14"/>
          <w:szCs w:val="14"/>
          <w:i w:val="1"/>
          <w:iCs w:val="1"/>
          <w:color w:val="auto"/>
        </w:rPr>
        <w:t>Revenue Recognition</w:t>
      </w:r>
      <w:r>
        <w:rPr>
          <w:rFonts w:ascii="Arial" w:cs="Arial" w:eastAsia="Arial" w:hAnsi="Arial"/>
          <w:sz w:val="14"/>
          <w:szCs w:val="14"/>
          <w:color w:val="auto"/>
        </w:rPr>
        <w:t>, or ASC 606. Under ASC 606, we recognize revenue when our customers obtain control of promised goods or services, in an amount that reflects the consideration which we expect to receive in exchange for those goods or services.</w:t>
      </w:r>
    </w:p>
    <w:p>
      <w:pPr>
        <w:spacing w:after="0" w:line="53" w:lineRule="exact"/>
        <w:rPr>
          <w:sz w:val="20"/>
          <w:szCs w:val="20"/>
          <w:color w:val="auto"/>
        </w:rPr>
      </w:pPr>
    </w:p>
    <w:p>
      <w:pPr>
        <w:ind w:left="640" w:right="719" w:firstLine="438"/>
        <w:spacing w:after="0" w:line="247" w:lineRule="auto"/>
        <w:rPr>
          <w:sz w:val="20"/>
          <w:szCs w:val="20"/>
          <w:color w:val="auto"/>
        </w:rPr>
      </w:pPr>
      <w:r>
        <w:rPr>
          <w:rFonts w:ascii="Arial" w:cs="Arial" w:eastAsia="Arial" w:hAnsi="Arial"/>
          <w:sz w:val="14"/>
          <w:szCs w:val="14"/>
          <w:color w:val="auto"/>
        </w:rPr>
        <w:t xml:space="preserve">There is judgment involved in determining whether a collaboration agreement is subject to ASC 606 or FASB ASC 808, </w:t>
      </w:r>
      <w:r>
        <w:rPr>
          <w:rFonts w:ascii="Arial" w:cs="Arial" w:eastAsia="Arial" w:hAnsi="Arial"/>
          <w:sz w:val="14"/>
          <w:szCs w:val="14"/>
          <w:i w:val="1"/>
          <w:iCs w:val="1"/>
          <w:color w:val="auto"/>
        </w:rPr>
        <w:t>Collaborative Arrangements</w:t>
      </w:r>
      <w:r>
        <w:rPr>
          <w:rFonts w:ascii="Arial" w:cs="Arial" w:eastAsia="Arial" w:hAnsi="Arial"/>
          <w:sz w:val="14"/>
          <w:szCs w:val="14"/>
          <w:color w:val="auto"/>
        </w:rPr>
        <w:t>, or ASC 808, in part or in full. An agreement, or portion thereof, is considered to be a collaborative arrangement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Payments received from or made to a partner as a result of a collaboration relationship with a partner, instead of a customer relationship, such as co-development activities, are recorded as a reduction or increase to research and development expense, respectively.</w:t>
      </w:r>
    </w:p>
    <w:p>
      <w:pPr>
        <w:spacing w:after="0" w:line="54" w:lineRule="exact"/>
        <w:rPr>
          <w:sz w:val="20"/>
          <w:szCs w:val="20"/>
          <w:color w:val="auto"/>
        </w:rPr>
      </w:pPr>
    </w:p>
    <w:p>
      <w:pPr>
        <w:ind w:left="640" w:right="659" w:firstLine="438"/>
        <w:spacing w:after="0" w:line="247" w:lineRule="auto"/>
        <w:rPr>
          <w:sz w:val="20"/>
          <w:szCs w:val="20"/>
          <w:color w:val="auto"/>
        </w:rPr>
      </w:pPr>
      <w:r>
        <w:rPr>
          <w:rFonts w:ascii="Arial" w:cs="Arial" w:eastAsia="Arial" w:hAnsi="Arial"/>
          <w:sz w:val="14"/>
          <w:szCs w:val="14"/>
          <w:color w:val="auto"/>
        </w:rPr>
        <w:t>For an agreement, or portion thereof, that is determined to be a customer relationship rather than a collaborative arrangement, ASC 606 will be applied. Under ASC 606, there is judgement involved in identifying the promised goods or services in the collaboration agreement, determining whether these are distinct in the context of the contract and determining if these represent a performance obligation to a customer. Additionally, we use judgement to determine whether rights to additional goods or services that are exercisable at a customer’s discretion provide a material right to the customer and if so, they are considered performance obligations. These determinations are highly subjective and can differ between arrangements based on specified contractual terms. The identified performance obligations will impact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1199"/>
        <w:spacing w:after="0" w:line="282" w:lineRule="auto"/>
        <w:rPr>
          <w:sz w:val="20"/>
          <w:szCs w:val="20"/>
          <w:color w:val="auto"/>
        </w:rPr>
      </w:pPr>
      <w:r>
        <w:rPr>
          <w:rFonts w:ascii="Arial" w:cs="Arial" w:eastAsia="Arial" w:hAnsi="Arial"/>
          <w:sz w:val="14"/>
          <w:szCs w:val="14"/>
          <w:color w:val="auto"/>
        </w:rPr>
        <w:t>most significantly the timing of revenue recognition and is a point-in-time assessment performed at the outset of a collaboration agreement.</w:t>
      </w:r>
    </w:p>
    <w:p>
      <w:pPr>
        <w:spacing w:after="0" w:line="30" w:lineRule="exact"/>
        <w:rPr>
          <w:sz w:val="20"/>
          <w:szCs w:val="20"/>
          <w:color w:val="auto"/>
        </w:rPr>
      </w:pPr>
    </w:p>
    <w:p>
      <w:pPr>
        <w:ind w:left="640" w:right="659" w:firstLine="438"/>
        <w:spacing w:after="0" w:line="243" w:lineRule="auto"/>
        <w:rPr>
          <w:sz w:val="20"/>
          <w:szCs w:val="20"/>
          <w:color w:val="auto"/>
        </w:rPr>
      </w:pPr>
      <w:r>
        <w:rPr>
          <w:rFonts w:ascii="Arial" w:cs="Arial" w:eastAsia="Arial" w:hAnsi="Arial"/>
          <w:sz w:val="14"/>
          <w:szCs w:val="14"/>
          <w:color w:val="auto"/>
        </w:rPr>
        <w:t>To determine the appropriate amount of revenue to be recognized for arrangements determined to be within the scope of ASC 606, we perform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we satisfy the performance obligations. We only apply the five-step model to contracts when it is probable that we will collect consideration we are entitled to in exchange for the goods or services we transfer to our customer. As part of the accounting for these arrangements, we must use significant judgment to determine: (a) the performance obligations based on the determination under step (i) above; (b) the transaction price under step (iii) above; and (c) the stand-alone selling price for each performance obligation identified in the contract for the allocation of transaction price in step (iv) above. We also use judgment to determine whether milestones or other variable considerations, except for royalties and sales-based milestones, should be included in the transaction price. The transaction price is allocated to each performance obligation on a relative stand-alone selling price basis and we recognize revenue as or when the performance obligations under the contract are satisfied. All variable consideration, including milestones and royalties, is constrained until the cumulative revenue related to the consideration is no longer probable of reversal. Due to the uncertainty of research and development-based milestones that are not within our control, payment generally becomes probable upon achievement.</w:t>
      </w:r>
    </w:p>
    <w:p>
      <w:pPr>
        <w:spacing w:after="0" w:line="57" w:lineRule="exact"/>
        <w:rPr>
          <w:sz w:val="20"/>
          <w:szCs w:val="20"/>
          <w:color w:val="auto"/>
        </w:rPr>
      </w:pPr>
    </w:p>
    <w:p>
      <w:pPr>
        <w:ind w:left="640" w:right="839" w:firstLine="438"/>
        <w:spacing w:after="0" w:line="282" w:lineRule="auto"/>
        <w:rPr>
          <w:sz w:val="20"/>
          <w:szCs w:val="20"/>
          <w:color w:val="auto"/>
        </w:rPr>
      </w:pPr>
      <w:r>
        <w:rPr>
          <w:rFonts w:ascii="Arial" w:cs="Arial" w:eastAsia="Arial" w:hAnsi="Arial"/>
          <w:sz w:val="14"/>
          <w:szCs w:val="14"/>
          <w:color w:val="auto"/>
        </w:rPr>
        <w:t>The consideration allocated to each performance obligation is recognized as revenue when control is transferred for the related goods or services.</w:t>
      </w:r>
    </w:p>
    <w:p>
      <w:pPr>
        <w:spacing w:after="0" w:line="30" w:lineRule="exact"/>
        <w:rPr>
          <w:sz w:val="20"/>
          <w:szCs w:val="20"/>
          <w:color w:val="auto"/>
        </w:rPr>
      </w:pPr>
    </w:p>
    <w:p>
      <w:pPr>
        <w:ind w:left="640" w:right="999" w:firstLine="438"/>
        <w:spacing w:after="0" w:line="261" w:lineRule="auto"/>
        <w:rPr>
          <w:sz w:val="20"/>
          <w:szCs w:val="20"/>
          <w:color w:val="auto"/>
        </w:rPr>
      </w:pPr>
      <w:r>
        <w:rPr>
          <w:rFonts w:ascii="Arial" w:cs="Arial" w:eastAsia="Arial" w:hAnsi="Arial"/>
          <w:sz w:val="14"/>
          <w:szCs w:val="14"/>
          <w:color w:val="auto"/>
        </w:rPr>
        <w:t>We receive payments from our customers based on billing schedules established in each contract. Upfront payments and fees are recorded as deferred revenue upon receipt or when due until we satisfy our obligations under these arrangements.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84" w:lineRule="exact"/>
        <w:rPr>
          <w:sz w:val="20"/>
          <w:szCs w:val="20"/>
          <w:color w:val="auto"/>
        </w:rPr>
      </w:pPr>
    </w:p>
    <w:p>
      <w:pPr>
        <w:jc w:val="both"/>
        <w:ind w:left="640" w:right="719" w:firstLine="438"/>
        <w:spacing w:after="0" w:line="261" w:lineRule="auto"/>
        <w:rPr>
          <w:sz w:val="20"/>
          <w:szCs w:val="20"/>
          <w:color w:val="auto"/>
        </w:rPr>
      </w:pPr>
      <w:r>
        <w:rPr>
          <w:rFonts w:ascii="Arial" w:cs="Arial" w:eastAsia="Arial" w:hAnsi="Arial"/>
          <w:sz w:val="14"/>
          <w:szCs w:val="14"/>
          <w:color w:val="auto"/>
        </w:rPr>
        <w:t>Expenditures relating to research and development are expensed as incurred. Non-refundable advance payments for goods and services that will be used in future research and development activities are expensed when the activity has been performed or when the goods have been received.</w:t>
      </w:r>
    </w:p>
    <w:p>
      <w:pPr>
        <w:spacing w:after="0" w:line="44"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third-party research and development expenses as of each balance sheet date.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60" w:lineRule="exact"/>
        <w:rPr>
          <w:sz w:val="20"/>
          <w:szCs w:val="20"/>
          <w:color w:val="auto"/>
        </w:rPr>
      </w:pPr>
    </w:p>
    <w:p>
      <w:pPr>
        <w:ind w:left="640" w:right="659" w:firstLine="438"/>
        <w:spacing w:after="0" w:line="246" w:lineRule="auto"/>
        <w:rPr>
          <w:sz w:val="20"/>
          <w:szCs w:val="20"/>
          <w:color w:val="auto"/>
        </w:rPr>
      </w:pPr>
      <w:r>
        <w:rPr>
          <w:rFonts w:ascii="Arial" w:cs="Arial" w:eastAsia="Arial" w:hAnsi="Arial"/>
          <w:sz w:val="14"/>
          <w:szCs w:val="14"/>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w:t>
      </w:r>
    </w:p>
    <w:p>
      <w:pPr>
        <w:spacing w:after="0" w:line="219" w:lineRule="exact"/>
        <w:rPr>
          <w:sz w:val="20"/>
          <w:szCs w:val="20"/>
          <w:color w:val="auto"/>
        </w:rPr>
      </w:pPr>
    </w:p>
    <w:p>
      <w:pPr>
        <w:ind w:left="640" w:right="739" w:firstLine="438"/>
        <w:spacing w:after="0" w:line="254" w:lineRule="auto"/>
        <w:rPr>
          <w:sz w:val="20"/>
          <w:szCs w:val="20"/>
          <w:color w:val="auto"/>
        </w:rPr>
      </w:pPr>
      <w:r>
        <w:rPr>
          <w:rFonts w:ascii="Arial" w:cs="Arial" w:eastAsia="Arial" w:hAnsi="Arial"/>
          <w:sz w:val="14"/>
          <w:szCs w:val="14"/>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84" w:lineRule="exact"/>
        <w:rPr>
          <w:sz w:val="20"/>
          <w:szCs w:val="20"/>
          <w:color w:val="auto"/>
        </w:rPr>
      </w:pPr>
    </w:p>
    <w:p>
      <w:pPr>
        <w:ind w:left="640" w:right="679" w:firstLine="438"/>
        <w:spacing w:after="0" w:line="254" w:lineRule="auto"/>
        <w:rPr>
          <w:sz w:val="20"/>
          <w:szCs w:val="20"/>
          <w:color w:val="auto"/>
        </w:rPr>
      </w:pPr>
      <w:r>
        <w:rPr>
          <w:rFonts w:ascii="Arial" w:cs="Arial" w:eastAsia="Arial" w:hAnsi="Arial"/>
          <w:sz w:val="14"/>
          <w:szCs w:val="14"/>
          <w:color w:val="auto"/>
        </w:rPr>
        <w:t xml:space="preserve">We account for stock-based compensation under the provisions of ASC Topic 718, </w:t>
      </w:r>
      <w:r>
        <w:rPr>
          <w:rFonts w:ascii="Arial" w:cs="Arial" w:eastAsia="Arial" w:hAnsi="Arial"/>
          <w:sz w:val="14"/>
          <w:szCs w:val="14"/>
          <w:i w:val="1"/>
          <w:iCs w:val="1"/>
          <w:color w:val="auto"/>
        </w:rPr>
        <w:t>Compensation-Stock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which requires all stock-based payments to employees, non-employees and directors, including grants of</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and restricted stock, which we collectively refer to as stock awards, to be recognized in the consolidated statements of operations and comprehensive loss based on their fair values on the date of grant over the requisite service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919"/>
        <w:spacing w:after="0" w:line="261" w:lineRule="auto"/>
        <w:rPr>
          <w:sz w:val="20"/>
          <w:szCs w:val="20"/>
          <w:color w:val="auto"/>
        </w:rPr>
      </w:pPr>
      <w:r>
        <w:rPr>
          <w:rFonts w:ascii="Arial" w:cs="Arial" w:eastAsia="Arial" w:hAnsi="Arial"/>
          <w:sz w:val="14"/>
          <w:szCs w:val="14"/>
          <w:color w:val="auto"/>
        </w:rPr>
        <w:t>period, which is generally the vesting period of the respective award. Forfeitures are accounted for as they occur. Generally, we issue stock awards with only service-based vesting conditions and record the expense for these awards using the straight-line method.</w:t>
      </w:r>
    </w:p>
    <w:p>
      <w:pPr>
        <w:spacing w:after="0" w:line="44" w:lineRule="exact"/>
        <w:rPr>
          <w:sz w:val="20"/>
          <w:szCs w:val="20"/>
          <w:color w:val="auto"/>
        </w:rPr>
      </w:pPr>
    </w:p>
    <w:p>
      <w:pPr>
        <w:ind w:left="640" w:right="659" w:firstLine="438"/>
        <w:spacing w:after="0" w:line="243" w:lineRule="auto"/>
        <w:rPr>
          <w:sz w:val="20"/>
          <w:szCs w:val="20"/>
          <w:color w:val="auto"/>
        </w:rPr>
      </w:pPr>
      <w:r>
        <w:rPr>
          <w:rFonts w:ascii="Arial" w:cs="Arial" w:eastAsia="Arial" w:hAnsi="Arial"/>
          <w:sz w:val="14"/>
          <w:szCs w:val="14"/>
          <w:color w:val="auto"/>
        </w:rPr>
        <w:t>We estimate the fair value of each option grant using the Black-Scholes option pricing model and we estimate the fair value of each restricted stock grant using the fair value of common stock. The Black-Scholes option pricing model requires inputs based on certain highly subjective assumptions to determine the appropriate fair value of each equity-based payment award, including the expected stock price volatility, the expected term of the award, the risk-free interest rate, expected dividends, and the fair value of common stock. We estimate the expected stock price volatility based on the historical volatility of publicly traded peer companies. The expected term of our stock options has been determined utilizing the “simplified” method for awards that qualify as “plain vanilla” options. The risk-free interest rate is determined by reference to the U.S. Treasury yield curve in effect at the time of grant of the award for time periods approximately equal to the expected term of the award. There is no expected dividend yield since we have never paid cash dividends on common stock and do not expect to pay any cash dividends in the foreseeable future. See Note 2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w:t>
      </w:r>
    </w:p>
    <w:p>
      <w:pPr>
        <w:spacing w:after="0" w:line="61" w:lineRule="exact"/>
        <w:rPr>
          <w:sz w:val="20"/>
          <w:szCs w:val="20"/>
          <w:color w:val="auto"/>
        </w:rPr>
      </w:pPr>
    </w:p>
    <w:p>
      <w:pPr>
        <w:ind w:left="640" w:right="799" w:firstLine="438"/>
        <w:spacing w:after="0" w:line="254" w:lineRule="auto"/>
        <w:rPr>
          <w:sz w:val="20"/>
          <w:szCs w:val="20"/>
          <w:color w:val="auto"/>
        </w:rPr>
      </w:pPr>
      <w:r>
        <w:rPr>
          <w:rFonts w:ascii="Arial" w:cs="Arial" w:eastAsia="Arial" w:hAnsi="Arial"/>
          <w:sz w:val="14"/>
          <w:szCs w:val="14"/>
          <w:color w:val="auto"/>
        </w:rPr>
        <w:t>We classify stock-based compensation expense in the consolidated statement of operations and comprehensive loss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Determination of Fair Value of Common Stock</w:t>
      </w:r>
    </w:p>
    <w:p>
      <w:pPr>
        <w:spacing w:after="0" w:line="84" w:lineRule="exact"/>
        <w:rPr>
          <w:sz w:val="20"/>
          <w:szCs w:val="20"/>
          <w:color w:val="auto"/>
        </w:rPr>
      </w:pPr>
    </w:p>
    <w:p>
      <w:pPr>
        <w:jc w:val="both"/>
        <w:ind w:left="640" w:right="1179" w:firstLine="438"/>
        <w:spacing w:after="0" w:line="261" w:lineRule="auto"/>
        <w:rPr>
          <w:sz w:val="20"/>
          <w:szCs w:val="20"/>
          <w:color w:val="auto"/>
        </w:rPr>
      </w:pPr>
      <w:r>
        <w:rPr>
          <w:rFonts w:ascii="Arial" w:cs="Arial" w:eastAsia="Arial" w:hAnsi="Arial"/>
          <w:sz w:val="14"/>
          <w:szCs w:val="14"/>
          <w:color w:val="auto"/>
        </w:rPr>
        <w:t>As there has been no public market for our common stock to date, the historical estimated fair value of our common stock has been determined by our board of directors, with input from management, considering our most recently available independent third-party valuations of common stock.</w:t>
      </w:r>
    </w:p>
    <w:p>
      <w:pPr>
        <w:spacing w:after="0" w:line="44" w:lineRule="exact"/>
        <w:rPr>
          <w:sz w:val="20"/>
          <w:szCs w:val="20"/>
          <w:color w:val="auto"/>
        </w:rPr>
      </w:pPr>
    </w:p>
    <w:p>
      <w:pPr>
        <w:ind w:left="640" w:right="679" w:firstLine="438"/>
        <w:spacing w:after="0" w:line="242" w:lineRule="auto"/>
        <w:rPr>
          <w:sz w:val="20"/>
          <w:szCs w:val="20"/>
          <w:color w:val="auto"/>
        </w:rPr>
      </w:pPr>
      <w:r>
        <w:rPr>
          <w:rFonts w:ascii="Arial" w:cs="Arial" w:eastAsia="Arial" w:hAnsi="Arial"/>
          <w:sz w:val="14"/>
          <w:szCs w:val="14"/>
          <w:color w:val="auto"/>
        </w:rPr>
        <w:t xml:space="preserve">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a third-party valuation firm prepared valuations of our common stock using a market approach to estimate our enterprise value. In order to allocate value to the common stock, either an option pricing method, or OPM, or the hybrid method was used.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probability-weighed expected return method, or PWERM, where the equity value in one or more of the scenarios is calculated using an OPM. The PWERM is a scenario-based methodology that estimates the fair value of common stock based upon an analysis of the future value of our common stock, assuming various outcomes. The value of a share of common stock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each case, a discount for lack of marketability of the common stock is then applied to arrive at an indication of value for the common stock.</w:t>
      </w:r>
    </w:p>
    <w:p>
      <w:pPr>
        <w:spacing w:after="0" w:line="66" w:lineRule="exact"/>
        <w:rPr>
          <w:sz w:val="20"/>
          <w:szCs w:val="20"/>
          <w:color w:val="auto"/>
        </w:rPr>
      </w:pPr>
    </w:p>
    <w:p>
      <w:pPr>
        <w:ind w:left="640" w:right="719" w:firstLine="443"/>
        <w:spacing w:after="0" w:line="261"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management’s judgment. As a result, if factors or expected outcomes change and we use significantly different assumptions or estimates, our stock-based compensation expense could be materially different.</w:t>
      </w:r>
    </w:p>
    <w:p>
      <w:pPr>
        <w:spacing w:after="0" w:line="44" w:lineRule="exact"/>
        <w:rPr>
          <w:sz w:val="20"/>
          <w:szCs w:val="20"/>
          <w:color w:val="auto"/>
        </w:rPr>
      </w:pPr>
    </w:p>
    <w:p>
      <w:pPr>
        <w:ind w:left="640" w:right="839" w:firstLine="438"/>
        <w:spacing w:after="0" w:line="261" w:lineRule="auto"/>
        <w:rPr>
          <w:sz w:val="20"/>
          <w:szCs w:val="20"/>
          <w:color w:val="auto"/>
        </w:rPr>
      </w:pPr>
      <w:r>
        <w:rPr>
          <w:rFonts w:ascii="Arial" w:cs="Arial" w:eastAsia="Arial" w:hAnsi="Arial"/>
          <w:sz w:val="14"/>
          <w:szCs w:val="14"/>
          <w:color w:val="auto"/>
        </w:rPr>
        <w:t>Given the absence of a public market for our common stock to date, our board of directors, with input from management, considered various objective and subjective factors to determine the fair value of our common stock. The factors included, but were not limited to:</w:t>
      </w:r>
    </w:p>
    <w:p>
      <w:pPr>
        <w:spacing w:after="0" w:line="44" w:lineRule="exact"/>
        <w:rPr>
          <w:sz w:val="20"/>
          <w:szCs w:val="20"/>
          <w:color w:val="auto"/>
        </w:rPr>
      </w:pPr>
    </w:p>
    <w:p>
      <w:pPr>
        <w:ind w:left="1260" w:right="1159" w:hanging="179"/>
        <w:spacing w:after="0" w:line="281" w:lineRule="auto"/>
        <w:tabs>
          <w:tab w:leader="none" w:pos="1260" w:val="left"/>
        </w:tabs>
        <w:numPr>
          <w:ilvl w:val="0"/>
          <w:numId w:val="59"/>
        </w:numPr>
        <w:rPr>
          <w:rFonts w:ascii="Times New Roman" w:cs="Times New Roman" w:eastAsia="Times New Roman" w:hAnsi="Times New Roman"/>
          <w:sz w:val="14"/>
          <w:szCs w:val="14"/>
          <w:color w:val="auto"/>
        </w:rPr>
      </w:pPr>
      <w:r>
        <w:rPr>
          <w:rFonts w:ascii="Arial" w:cs="Arial" w:eastAsia="Arial" w:hAnsi="Arial"/>
          <w:sz w:val="14"/>
          <w:szCs w:val="14"/>
          <w:color w:val="auto"/>
        </w:rPr>
        <w:t>external market conditions affecting the pharmaceutical and biotechnology industry and trends within the industry;</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9"/>
        </w:numPr>
        <w:rPr>
          <w:rFonts w:ascii="Times New Roman" w:cs="Times New Roman" w:eastAsia="Times New Roman" w:hAnsi="Times New Roman"/>
          <w:sz w:val="14"/>
          <w:szCs w:val="14"/>
          <w:color w:val="auto"/>
        </w:rPr>
      </w:pPr>
      <w:r>
        <w:rPr>
          <w:rFonts w:ascii="Arial" w:cs="Arial" w:eastAsia="Arial" w:hAnsi="Arial"/>
          <w:sz w:val="14"/>
          <w:szCs w:val="14"/>
          <w:color w:val="auto"/>
        </w:rPr>
        <w:t>our stage of development and business strategy and the material risks related to our business and industry;</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9"/>
        </w:numPr>
        <w:rPr>
          <w:rFonts w:ascii="Times New Roman" w:cs="Times New Roman" w:eastAsia="Times New Roman" w:hAnsi="Times New Roman"/>
          <w:sz w:val="14"/>
          <w:szCs w:val="14"/>
          <w:color w:val="auto"/>
        </w:rPr>
      </w:pPr>
      <w:r>
        <w:rPr>
          <w:rFonts w:ascii="Arial" w:cs="Arial" w:eastAsia="Arial" w:hAnsi="Arial"/>
          <w:sz w:val="14"/>
          <w:szCs w:val="14"/>
          <w:color w:val="auto"/>
        </w:rPr>
        <w:t>the rights, preferences and privileges of our convertible preferred stock relative to those of our common stock;</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59"/>
        </w:numPr>
        <w:rPr>
          <w:rFonts w:ascii="Times New Roman" w:cs="Times New Roman" w:eastAsia="Times New Roman" w:hAnsi="Times New Roman"/>
          <w:sz w:val="14"/>
          <w:szCs w:val="14"/>
          <w:color w:val="auto"/>
        </w:rPr>
      </w:pPr>
      <w:r>
        <w:rPr>
          <w:rFonts w:ascii="Arial" w:cs="Arial" w:eastAsia="Arial" w:hAnsi="Arial"/>
          <w:sz w:val="14"/>
          <w:szCs w:val="14"/>
          <w:color w:val="auto"/>
        </w:rPr>
        <w:t>the prices at which we sold shares of our convertible preferred stock;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3" w:name="page94"/>
    <w:bookmarkEnd w:id="9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999" w:hanging="179"/>
        <w:spacing w:after="0" w:line="281" w:lineRule="auto"/>
        <w:tabs>
          <w:tab w:leader="none" w:pos="12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our financial position, including cash on hand, and our historical and forecasted performance and operating results;</w:t>
      </w:r>
    </w:p>
    <w:p>
      <w:pPr>
        <w:spacing w:after="0" w:line="30" w:lineRule="exact"/>
        <w:rPr>
          <w:rFonts w:ascii="Times New Roman" w:cs="Times New Roman" w:eastAsia="Times New Roman" w:hAnsi="Times New Roman"/>
          <w:sz w:val="14"/>
          <w:szCs w:val="14"/>
          <w:color w:val="auto"/>
        </w:rPr>
      </w:pPr>
    </w:p>
    <w:p>
      <w:pPr>
        <w:ind w:left="1260" w:right="779" w:hanging="179"/>
        <w:spacing w:after="0" w:line="281" w:lineRule="auto"/>
        <w:tabs>
          <w:tab w:leader="none" w:pos="12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the progress of our research and development efforts, including the status of preclinical studies for our product candidates;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equity market conditions affecting comparable public companies;</w:t>
      </w:r>
    </w:p>
    <w:p>
      <w:pPr>
        <w:spacing w:after="0" w:line="96" w:lineRule="exact"/>
        <w:rPr>
          <w:rFonts w:ascii="Times New Roman" w:cs="Times New Roman" w:eastAsia="Times New Roman" w:hAnsi="Times New Roman"/>
          <w:sz w:val="14"/>
          <w:szCs w:val="14"/>
          <w:color w:val="auto"/>
        </w:rPr>
      </w:pPr>
    </w:p>
    <w:p>
      <w:pPr>
        <w:ind w:left="1260" w:right="899" w:hanging="179"/>
        <w:spacing w:after="0" w:line="281" w:lineRule="auto"/>
        <w:tabs>
          <w:tab w:leader="none" w:pos="12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economic outlook including economic growth, inflation, the unemployment rate, the interest rate environment and global economic trends;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the lack of marketability of our common stock;</w:t>
      </w:r>
    </w:p>
    <w:p>
      <w:pPr>
        <w:spacing w:after="0" w:line="96" w:lineRule="exact"/>
        <w:rPr>
          <w:rFonts w:ascii="Times New Roman" w:cs="Times New Roman" w:eastAsia="Times New Roman" w:hAnsi="Times New Roman"/>
          <w:sz w:val="14"/>
          <w:szCs w:val="14"/>
          <w:color w:val="auto"/>
        </w:rPr>
      </w:pPr>
    </w:p>
    <w:p>
      <w:pPr>
        <w:ind w:left="1260" w:right="879" w:hanging="179"/>
        <w:spacing w:after="0" w:line="281" w:lineRule="auto"/>
        <w:tabs>
          <w:tab w:leader="none" w:pos="12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the likelihood of achieving a liquidity event, such as an initial public offering, or sale of our company in light of prevailing market conditions; and</w:t>
      </w:r>
    </w:p>
    <w:p>
      <w:pPr>
        <w:spacing w:after="0" w:line="30" w:lineRule="exact"/>
        <w:rPr>
          <w:rFonts w:ascii="Times New Roman" w:cs="Times New Roman" w:eastAsia="Times New Roman" w:hAnsi="Times New Roman"/>
          <w:sz w:val="14"/>
          <w:szCs w:val="14"/>
          <w:color w:val="auto"/>
        </w:rPr>
      </w:pPr>
    </w:p>
    <w:p>
      <w:pPr>
        <w:ind w:left="1260" w:right="899" w:hanging="179"/>
        <w:spacing w:after="0" w:line="281" w:lineRule="auto"/>
        <w:tabs>
          <w:tab w:leader="none" w:pos="12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the analysis of initial public offerings and the market performance of similar companies in the pharmaceutical and biotechnology industry.</w:t>
      </w:r>
    </w:p>
    <w:p>
      <w:pPr>
        <w:spacing w:after="0" w:line="30"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49" w:lineRule="exact"/>
        <w:rPr>
          <w:sz w:val="20"/>
          <w:szCs w:val="20"/>
          <w:color w:val="auto"/>
        </w:rPr>
      </w:pPr>
    </w:p>
    <w:p>
      <w:pPr>
        <w:ind w:left="640" w:right="739" w:firstLine="438"/>
        <w:spacing w:after="0" w:line="254" w:lineRule="auto"/>
        <w:rPr>
          <w:sz w:val="20"/>
          <w:szCs w:val="20"/>
          <w:color w:val="auto"/>
        </w:rPr>
      </w:pPr>
      <w:r>
        <w:rPr>
          <w:rFonts w:ascii="Arial" w:cs="Arial" w:eastAsia="Arial" w:hAnsi="Arial"/>
          <w:sz w:val="14"/>
          <w:szCs w:val="14"/>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49" w:lineRule="exact"/>
        <w:rPr>
          <w:sz w:val="20"/>
          <w:szCs w:val="20"/>
          <w:color w:val="auto"/>
        </w:rPr>
      </w:pPr>
    </w:p>
    <w:p>
      <w:pPr>
        <w:ind w:left="640" w:right="659" w:firstLine="438"/>
        <w:spacing w:after="0" w:line="243" w:lineRule="auto"/>
        <w:rPr>
          <w:sz w:val="20"/>
          <w:szCs w:val="20"/>
          <w:color w:val="auto"/>
        </w:rPr>
      </w:pPr>
      <w:r>
        <w:rPr>
          <w:rFonts w:ascii="Arial" w:cs="Arial" w:eastAsia="Arial" w:hAnsi="Arial"/>
          <w:sz w:val="14"/>
          <w:szCs w:val="14"/>
          <w:color w:val="auto"/>
        </w:rPr>
        <w:t>On June 18, 2025, our board of directors approved a stock option repricing in which 18,728,961 outstanding stock options were repriced to reduce the exercise prices ranging from $2.37 to $3.30 to have an exercise price of $0.41, based on the third-party valuation performed as of June 8, 2025. We believe the repricing of these options was important to provide appropriate retention and motivation incentives for our service providers holding these underwater stock options. The repricing modification of these awards resulted in incremental stock-based compensation expense of $2.4 million, calculated as the excess of the fair value of the modified awards over the fair value of the original awards immediately before modification of which $1.5 million was recognized during the year ended December 31, 2025. The remaining $0.9 million is being recognized over the remaining requisite service period of approximately 2.38 years. Following the repricing, additional third-party valuations were performed at various dates, which resulted in valuations of our common stock of $ 0.43 as of July 15, 2025 and $0.53 as of December 31, 2025. On September 10, 2025, our board of directors approved a stock option repricing in which 464,036 outstanding stock options were repriced to reduce the exercise prices of the affected awards of $2.41 and $2.59 to have an exercise price of $0.43, based on the third-party valuation performed as of July 15, 2025. The repricing modification for these two awards resulted in immediate recognition of the incremental stock-based compensation expense of $0.1 million, calculated as the excess of the fair value of the modified awards over the fair value of the original awards immediately before modification.</w:t>
      </w:r>
    </w:p>
    <w:p>
      <w:pPr>
        <w:spacing w:after="0" w:line="57" w:lineRule="exact"/>
        <w:rPr>
          <w:sz w:val="20"/>
          <w:szCs w:val="20"/>
          <w:color w:val="auto"/>
        </w:rPr>
      </w:pPr>
    </w:p>
    <w:p>
      <w:pPr>
        <w:ind w:left="640" w:right="919" w:firstLine="443"/>
        <w:spacing w:after="0" w:line="254" w:lineRule="auto"/>
        <w:rPr>
          <w:sz w:val="20"/>
          <w:szCs w:val="20"/>
          <w:color w:val="auto"/>
        </w:rPr>
      </w:pPr>
      <w:r>
        <w:rPr>
          <w:rFonts w:ascii="Arial" w:cs="Arial" w:eastAsia="Arial" w:hAnsi="Arial"/>
          <w:sz w:val="14"/>
          <w:szCs w:val="14"/>
          <w:color w:val="auto"/>
        </w:rPr>
        <w:t>The following table summarizes by grant date the number of shares subject to awards granted under our equity incentive plan from the date of the repricings on June 18, 2025 and September 10, 2025, through the date of this prospectus, the per share exercise price of the awards or purchase price of the common stock awards and weighted average grant date fair value on each grant date:</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55"/>
              <w:spacing w:after="0"/>
              <w:rPr>
                <w:sz w:val="20"/>
                <w:szCs w:val="20"/>
                <w:color w:val="auto"/>
              </w:rPr>
            </w:pPr>
            <w:r>
              <w:rPr>
                <w:rFonts w:ascii="Arial" w:cs="Arial" w:eastAsia="Arial" w:hAnsi="Arial"/>
                <w:sz w:val="11"/>
                <w:szCs w:val="11"/>
                <w:b w:val="1"/>
                <w:bCs w:val="1"/>
                <w:color w:val="auto"/>
              </w:rPr>
              <w:t>Per Share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135"/>
              <w:spacing w:after="0"/>
              <w:rPr>
                <w:sz w:val="20"/>
                <w:szCs w:val="20"/>
                <w:color w:val="auto"/>
              </w:rPr>
            </w:pPr>
            <w:r>
              <w:rPr>
                <w:rFonts w:ascii="Arial" w:cs="Arial" w:eastAsia="Arial" w:hAnsi="Arial"/>
                <w:sz w:val="11"/>
                <w:szCs w:val="11"/>
                <w:b w:val="1"/>
                <w:bCs w:val="1"/>
                <w:color w:val="auto"/>
              </w:rPr>
              <w:t>Weighted Average</w:t>
            </w:r>
          </w:p>
        </w:tc>
      </w:tr>
      <w:tr>
        <w:trPr>
          <w:trHeight w:val="129"/>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ind w:left="380"/>
              <w:spacing w:after="0"/>
              <w:rPr>
                <w:sz w:val="20"/>
                <w:szCs w:val="20"/>
                <w:color w:val="auto"/>
              </w:rPr>
            </w:pPr>
            <w:r>
              <w:rPr>
                <w:rFonts w:ascii="Arial" w:cs="Arial" w:eastAsia="Arial" w:hAnsi="Arial"/>
                <w:sz w:val="11"/>
                <w:szCs w:val="11"/>
                <w:b w:val="1"/>
                <w:bCs w:val="1"/>
                <w:color w:val="auto"/>
              </w:rPr>
              <w:t>Type of</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11"/>
                <w:szCs w:val="11"/>
                <w:color w:val="auto"/>
              </w:rPr>
            </w:pPr>
          </w:p>
        </w:tc>
        <w:tc>
          <w:tcPr>
            <w:tcW w:w="1100" w:type="dxa"/>
            <w:vAlign w:val="bottom"/>
          </w:tcPr>
          <w:p>
            <w:pPr>
              <w:jc w:val="center"/>
              <w:ind w:right="35"/>
              <w:spacing w:after="0"/>
              <w:rPr>
                <w:sz w:val="20"/>
                <w:szCs w:val="20"/>
                <w:color w:val="auto"/>
              </w:rPr>
            </w:pPr>
            <w:r>
              <w:rPr>
                <w:rFonts w:ascii="Arial" w:cs="Arial" w:eastAsia="Arial" w:hAnsi="Arial"/>
                <w:sz w:val="11"/>
                <w:szCs w:val="11"/>
                <w:b w:val="1"/>
                <w:bCs w:val="1"/>
                <w:color w:val="auto"/>
              </w:rPr>
              <w:t>Exercise Price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155"/>
              <w:spacing w:after="0"/>
              <w:rPr>
                <w:sz w:val="20"/>
                <w:szCs w:val="20"/>
                <w:color w:val="auto"/>
              </w:rPr>
            </w:pPr>
            <w:r>
              <w:rPr>
                <w:rFonts w:ascii="Arial" w:cs="Arial" w:eastAsia="Arial" w:hAnsi="Arial"/>
                <w:sz w:val="11"/>
                <w:szCs w:val="11"/>
                <w:b w:val="1"/>
                <w:bCs w:val="1"/>
                <w:color w:val="auto"/>
              </w:rPr>
              <w:t>Grant Date Fair</w:t>
            </w:r>
          </w:p>
        </w:tc>
      </w:tr>
      <w:tr>
        <w:trPr>
          <w:trHeight w:val="137"/>
        </w:trPr>
        <w:tc>
          <w:tcPr>
            <w:tcW w:w="2540" w:type="dxa"/>
            <w:vAlign w:val="bottom"/>
          </w:tcPr>
          <w:p>
            <w:pPr>
              <w:spacing w:after="0"/>
              <w:rPr>
                <w:sz w:val="20"/>
                <w:szCs w:val="20"/>
                <w:color w:val="auto"/>
              </w:rPr>
            </w:pPr>
            <w:r>
              <w:rPr>
                <w:rFonts w:ascii="Arial" w:cs="Arial" w:eastAsia="Arial" w:hAnsi="Arial"/>
                <w:sz w:val="11"/>
                <w:szCs w:val="11"/>
                <w:b w:val="1"/>
                <w:bCs w:val="1"/>
                <w:color w:val="auto"/>
              </w:rPr>
              <w:t>Grant Date</w:t>
            </w:r>
          </w:p>
        </w:tc>
        <w:tc>
          <w:tcPr>
            <w:tcW w:w="80" w:type="dxa"/>
            <w:vAlign w:val="bottom"/>
          </w:tcPr>
          <w:p>
            <w:pPr>
              <w:spacing w:after="0"/>
              <w:rPr>
                <w:sz w:val="11"/>
                <w:szCs w:val="11"/>
                <w:color w:val="auto"/>
              </w:rPr>
            </w:pPr>
          </w:p>
        </w:tc>
        <w:tc>
          <w:tcPr>
            <w:tcW w:w="1160" w:type="dxa"/>
            <w:vAlign w:val="bottom"/>
          </w:tcPr>
          <w:p>
            <w:pPr>
              <w:ind w:left="400"/>
              <w:spacing w:after="0"/>
              <w:rPr>
                <w:sz w:val="20"/>
                <w:szCs w:val="20"/>
                <w:color w:val="auto"/>
              </w:rPr>
            </w:pPr>
            <w:r>
              <w:rPr>
                <w:rFonts w:ascii="Arial" w:cs="Arial" w:eastAsia="Arial" w:hAnsi="Arial"/>
                <w:sz w:val="11"/>
                <w:szCs w:val="11"/>
                <w:b w:val="1"/>
                <w:bCs w:val="1"/>
                <w:color w:val="auto"/>
              </w:rPr>
              <w:t>Award</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Subject to Award</w:t>
            </w:r>
          </w:p>
        </w:tc>
        <w:tc>
          <w:tcPr>
            <w:tcW w:w="120" w:type="dxa"/>
            <w:vAlign w:val="bottom"/>
          </w:tcPr>
          <w:p>
            <w:pPr>
              <w:spacing w:after="0"/>
              <w:rPr>
                <w:sz w:val="11"/>
                <w:szCs w:val="11"/>
                <w:color w:val="auto"/>
              </w:rPr>
            </w:pPr>
          </w:p>
        </w:tc>
        <w:tc>
          <w:tcPr>
            <w:tcW w:w="1100" w:type="dxa"/>
            <w:vAlign w:val="bottom"/>
          </w:tcPr>
          <w:p>
            <w:pPr>
              <w:jc w:val="center"/>
              <w:ind w:right="75"/>
              <w:spacing w:after="0"/>
              <w:rPr>
                <w:sz w:val="20"/>
                <w:szCs w:val="20"/>
                <w:color w:val="auto"/>
              </w:rPr>
            </w:pPr>
            <w:r>
              <w:rPr>
                <w:rFonts w:ascii="Arial" w:cs="Arial" w:eastAsia="Arial" w:hAnsi="Arial"/>
                <w:sz w:val="11"/>
                <w:szCs w:val="11"/>
                <w:b w:val="1"/>
                <w:bCs w:val="1"/>
                <w:color w:val="auto"/>
              </w:rPr>
              <w:t>Award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Arial" w:cs="Arial" w:eastAsia="Arial" w:hAnsi="Arial"/>
                <w:sz w:val="11"/>
                <w:szCs w:val="11"/>
                <w:b w:val="1"/>
                <w:bCs w:val="1"/>
                <w:color w:val="auto"/>
              </w:rPr>
              <w:t>Value</w:t>
            </w:r>
          </w:p>
        </w:tc>
      </w:tr>
      <w:tr>
        <w:trPr>
          <w:trHeight w:val="137"/>
        </w:trPr>
        <w:tc>
          <w:tcPr>
            <w:tcW w:w="254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September 19, 2025</w:t>
            </w:r>
          </w:p>
        </w:tc>
        <w:tc>
          <w:tcPr>
            <w:tcW w:w="80" w:type="dxa"/>
            <w:vAlign w:val="bottom"/>
          </w:tcPr>
          <w:p>
            <w:pPr>
              <w:spacing w:after="0"/>
              <w:rPr>
                <w:sz w:val="11"/>
                <w:szCs w:val="11"/>
                <w:color w:val="auto"/>
              </w:rPr>
            </w:pPr>
          </w:p>
        </w:tc>
        <w:tc>
          <w:tcPr>
            <w:tcW w:w="11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Stock Option</w:t>
            </w:r>
          </w:p>
        </w:tc>
        <w:tc>
          <w:tcPr>
            <w:tcW w:w="100" w:type="dxa"/>
            <w:vAlign w:val="bottom"/>
          </w:tcPr>
          <w:p>
            <w:pPr>
              <w:spacing w:after="0"/>
              <w:rPr>
                <w:sz w:val="11"/>
                <w:szCs w:val="11"/>
                <w:color w:val="auto"/>
              </w:rPr>
            </w:pPr>
          </w:p>
        </w:tc>
        <w:tc>
          <w:tcPr>
            <w:tcW w:w="11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1,909,363</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0.43</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35"/>
              <w:spacing w:after="0" w:line="137" w:lineRule="exact"/>
              <w:rPr>
                <w:sz w:val="20"/>
                <w:szCs w:val="20"/>
                <w:color w:val="auto"/>
              </w:rPr>
            </w:pPr>
            <w:r>
              <w:rPr>
                <w:rFonts w:ascii="Arial" w:cs="Arial" w:eastAsia="Arial" w:hAnsi="Arial"/>
                <w:sz w:val="14"/>
                <w:szCs w:val="14"/>
                <w:color w:val="auto"/>
              </w:rPr>
              <w:t>0.34</w:t>
            </w:r>
          </w:p>
        </w:tc>
      </w:t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September 22, 2025</w:t>
            </w:r>
          </w:p>
        </w:tc>
        <w:tc>
          <w:tcPr>
            <w:tcW w:w="8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Stock Option</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27,561,892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0.43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5"/>
              <w:spacing w:after="0"/>
              <w:rPr>
                <w:sz w:val="20"/>
                <w:szCs w:val="20"/>
                <w:color w:val="auto"/>
              </w:rPr>
            </w:pPr>
            <w:r>
              <w:rPr>
                <w:rFonts w:ascii="Arial" w:cs="Arial" w:eastAsia="Arial" w:hAnsi="Arial"/>
                <w:sz w:val="14"/>
                <w:szCs w:val="14"/>
                <w:color w:val="auto"/>
              </w:rPr>
              <w:t>0.34</w:t>
            </w:r>
          </w:p>
        </w:tc>
      </w:t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December 4, 2025</w:t>
            </w:r>
          </w:p>
        </w:tc>
        <w:tc>
          <w:tcPr>
            <w:tcW w:w="8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Stock Option</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870,000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0.43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5"/>
              <w:spacing w:after="0"/>
              <w:rPr>
                <w:sz w:val="20"/>
                <w:szCs w:val="20"/>
                <w:color w:val="auto"/>
              </w:rPr>
            </w:pPr>
            <w:r>
              <w:rPr>
                <w:rFonts w:ascii="Arial" w:cs="Arial" w:eastAsia="Arial" w:hAnsi="Arial"/>
                <w:sz w:val="14"/>
                <w:szCs w:val="14"/>
                <w:color w:val="auto"/>
              </w:rPr>
              <w:t>0.34</w:t>
            </w:r>
          </w:p>
        </w:tc>
      </w:tr>
      <w:tr>
        <w:trPr>
          <w:trHeight w:val="190"/>
        </w:trPr>
        <w:tc>
          <w:tcPr>
            <w:tcW w:w="2540" w:type="dxa"/>
            <w:vAlign w:val="bottom"/>
          </w:tcPr>
          <w:p>
            <w:pPr>
              <w:spacing w:after="0"/>
              <w:rPr>
                <w:sz w:val="20"/>
                <w:szCs w:val="20"/>
                <w:color w:val="auto"/>
              </w:rPr>
            </w:pPr>
            <w:r>
              <w:rPr>
                <w:rFonts w:ascii="Arial" w:cs="Arial" w:eastAsia="Arial" w:hAnsi="Arial"/>
                <w:sz w:val="14"/>
                <w:szCs w:val="14"/>
                <w:color w:val="auto"/>
              </w:rPr>
              <w:t>December 30, 2025</w:t>
            </w:r>
          </w:p>
        </w:tc>
        <w:tc>
          <w:tcPr>
            <w:tcW w:w="8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Stock Option</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573,000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0.43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5"/>
              <w:spacing w:after="0"/>
              <w:rPr>
                <w:sz w:val="20"/>
                <w:szCs w:val="20"/>
                <w:color w:val="auto"/>
              </w:rPr>
            </w:pPr>
            <w:r>
              <w:rPr>
                <w:rFonts w:ascii="Arial" w:cs="Arial" w:eastAsia="Arial" w:hAnsi="Arial"/>
                <w:sz w:val="14"/>
                <w:szCs w:val="14"/>
                <w:color w:val="auto"/>
              </w:rPr>
              <w:t>0.34</w:t>
            </w:r>
          </w:p>
        </w:tc>
      </w:tr>
    </w:tbl>
    <w:p>
      <w:pPr>
        <w:spacing w:after="0" w:line="145"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Determination of Fair Value of Contingent Consideration</w:t>
      </w:r>
    </w:p>
    <w:p>
      <w:pPr>
        <w:spacing w:after="0" w:line="84" w:lineRule="exact"/>
        <w:rPr>
          <w:sz w:val="20"/>
          <w:szCs w:val="20"/>
          <w:color w:val="auto"/>
        </w:rPr>
      </w:pPr>
    </w:p>
    <w:p>
      <w:pPr>
        <w:ind w:left="640" w:right="739" w:firstLine="438"/>
        <w:spacing w:after="0" w:line="250" w:lineRule="auto"/>
        <w:rPr>
          <w:sz w:val="20"/>
          <w:szCs w:val="20"/>
          <w:color w:val="auto"/>
        </w:rPr>
      </w:pPr>
      <w:r>
        <w:rPr>
          <w:rFonts w:ascii="Arial" w:cs="Arial" w:eastAsia="Arial" w:hAnsi="Arial"/>
          <w:sz w:val="14"/>
          <w:szCs w:val="14"/>
          <w:color w:val="auto"/>
        </w:rPr>
        <w:t>Our contingent consideration relates to potential future payments owed by us to the former equity holders of IFM and Rahko as part of the IFM Acquisition and the Rahko Acquisition, respectively. We initially measure and record contingent consideration at fair value at the acquisition date. For contingent consideration that does not meet all the criteria for equity classification, such contingent consideration is required to be classified as a liability on the consolidated balance sheets and remeasured at each reporting period thereafter with changes in fair value recorded in operations.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4" w:name="page95"/>
    <w:bookmarkEnd w:id="9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firstLine="438"/>
        <w:spacing w:after="0" w:line="246" w:lineRule="auto"/>
        <w:rPr>
          <w:sz w:val="20"/>
          <w:szCs w:val="20"/>
          <w:color w:val="auto"/>
        </w:rPr>
      </w:pPr>
      <w:r>
        <w:rPr>
          <w:rFonts w:ascii="Arial" w:cs="Arial" w:eastAsia="Arial" w:hAnsi="Arial"/>
          <w:sz w:val="14"/>
          <w:szCs w:val="14"/>
          <w:color w:val="auto"/>
        </w:rPr>
        <w:t>We estimate the fair value of the contingent consideration related to regulatory and development milestones, including the contingent consideration included as part of the IFM Acquisition, based on a discounted cash flow valuation technique. The technique considered the following assumptions: (i) the probability and timing of achieving the specified milestones as of the valuation date and (ii) the market-based discount rates. The fair value of the contingent consideration could change in future periods depending on the prospects for our drug discovery programs achieving regulatory and development milestones. The most significant assumptions in the discounted cash flow valuation technique that impact the fair value of the contingent consideration are the timing of the projected milestones and the probability of the milestones being met.</w:t>
      </w:r>
    </w:p>
    <w:p>
      <w:pPr>
        <w:spacing w:after="0" w:line="54" w:lineRule="exact"/>
        <w:rPr>
          <w:sz w:val="20"/>
          <w:szCs w:val="20"/>
          <w:color w:val="auto"/>
        </w:rPr>
      </w:pPr>
    </w:p>
    <w:p>
      <w:pPr>
        <w:ind w:left="640" w:right="739" w:firstLine="438"/>
        <w:spacing w:after="0" w:line="247" w:lineRule="auto"/>
        <w:rPr>
          <w:sz w:val="20"/>
          <w:szCs w:val="20"/>
          <w:color w:val="auto"/>
        </w:rPr>
      </w:pPr>
      <w:r>
        <w:rPr>
          <w:rFonts w:ascii="Arial" w:cs="Arial" w:eastAsia="Arial" w:hAnsi="Arial"/>
          <w:sz w:val="14"/>
          <w:szCs w:val="14"/>
          <w:color w:val="auto"/>
        </w:rPr>
        <w:t>The fair value of contingent consideration related to potential qualifying events, including the contingent consideration included as part of the Rahko Acquisition, is determined based on the Monte-Carlo simulation model which utilizes a geometric Brownian motion to estimate the equity value of a company at expected qualifying event dates. The model utilizes the risk-free rate, volatility and discount rate to simulate the expected equity value of a company as of expected qualifying event dates. The risk-free rate is based upon the interest rates corresponding to the time period for U.S. Treasury notes published by the U.S. Federal Reserve. The volatility is estimated based on equity volatility indications from our peer public companies and our capital structure.</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18" w:lineRule="exact"/>
        <w:rPr>
          <w:sz w:val="20"/>
          <w:szCs w:val="20"/>
          <w:color w:val="auto"/>
        </w:rPr>
      </w:pPr>
    </w:p>
    <w:p>
      <w:pPr>
        <w:jc w:val="both"/>
        <w:ind w:left="640" w:right="659" w:firstLine="258"/>
        <w:spacing w:after="0" w:line="246" w:lineRule="auto"/>
        <w:rPr>
          <w:sz w:val="20"/>
          <w:szCs w:val="20"/>
          <w:color w:val="auto"/>
        </w:rPr>
      </w:pPr>
      <w:r>
        <w:rPr>
          <w:rFonts w:ascii="Arial" w:cs="Arial" w:eastAsia="Arial" w:hAnsi="Arial"/>
          <w:sz w:val="14"/>
          <w:szCs w:val="14"/>
          <w:color w:val="auto"/>
        </w:rPr>
        <w:t>We are not currently required to maintain an effective system of internal controls as defined by Section 404 of the Sarbanes-Oxley Act. We will be required to comply with the internal control reporting requirements of the Sarbanes-Oxley Act beginning with our second annual report. Only in the event that we are deemed to be a large accelerated filer or an accelerated filer will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76" w:lineRule="exact"/>
        <w:rPr>
          <w:sz w:val="20"/>
          <w:szCs w:val="20"/>
          <w:color w:val="auto"/>
        </w:rPr>
      </w:pPr>
    </w:p>
    <w:p>
      <w:pPr>
        <w:jc w:val="both"/>
        <w:ind w:left="640" w:right="659" w:firstLine="258"/>
        <w:spacing w:after="0" w:line="250" w:lineRule="auto"/>
        <w:rPr>
          <w:sz w:val="20"/>
          <w:szCs w:val="20"/>
          <w:color w:val="auto"/>
        </w:rPr>
      </w:pPr>
      <w:r>
        <w:rPr>
          <w:rFonts w:ascii="Arial" w:cs="Arial" w:eastAsia="Arial" w:hAnsi="Arial"/>
          <w:sz w:val="14"/>
          <w:szCs w:val="14"/>
          <w:color w:val="auto"/>
        </w:rPr>
        <w:t>Because it will take time, management involvement and perhaps outside resources to determine what internal control improvements are necessary for us to meet regulatory requirements and market expectations,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85" w:lineRule="exact"/>
        <w:rPr>
          <w:sz w:val="20"/>
          <w:szCs w:val="20"/>
          <w:color w:val="auto"/>
        </w:rPr>
      </w:pPr>
    </w:p>
    <w:p>
      <w:pPr>
        <w:jc w:val="both"/>
        <w:ind w:left="640" w:right="659" w:firstLine="258"/>
        <w:spacing w:after="0" w:line="254" w:lineRule="auto"/>
        <w:rPr>
          <w:sz w:val="20"/>
          <w:szCs w:val="20"/>
          <w:color w:val="auto"/>
        </w:rPr>
      </w:pPr>
      <w:r>
        <w:rPr>
          <w:rFonts w:ascii="Arial" w:cs="Arial" w:eastAsia="Arial" w:hAnsi="Arial"/>
          <w:sz w:val="14"/>
          <w:szCs w:val="14"/>
          <w:color w:val="auto"/>
        </w:rPr>
        <w:t>Once our management’s report on internal controls is complete, we will retain our independent registered public accounting firm to audit and render an opinion on such report when required by Section 404. The independent registered public accounting firm may identify additional issues concerning a target business’s internal controls while performing their audit of internal control over financial reporting.</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86" w:lineRule="exact"/>
        <w:rPr>
          <w:sz w:val="20"/>
          <w:szCs w:val="20"/>
          <w:color w:val="auto"/>
        </w:rPr>
      </w:pPr>
    </w:p>
    <w:p>
      <w:pPr>
        <w:ind w:left="640" w:right="759" w:firstLine="438"/>
        <w:spacing w:after="0" w:line="261"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and results of operations is provided in Note 2 to our audited consolidated financial statements included elsewhere in this prospectus.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84" w:lineRule="exact"/>
        <w:rPr>
          <w:sz w:val="20"/>
          <w:szCs w:val="20"/>
          <w:color w:val="auto"/>
        </w:rPr>
      </w:pPr>
    </w:p>
    <w:p>
      <w:pPr>
        <w:ind w:left="640" w:right="759" w:firstLine="438"/>
        <w:spacing w:after="0" w:line="244" w:lineRule="auto"/>
        <w:rPr>
          <w:sz w:val="20"/>
          <w:szCs w:val="20"/>
          <w:color w:val="auto"/>
        </w:rPr>
      </w:pPr>
      <w:r>
        <w:rPr>
          <w:rFonts w:ascii="Arial" w:cs="Arial" w:eastAsia="Arial" w:hAnsi="Arial"/>
          <w:sz w:val="14"/>
          <w:szCs w:val="14"/>
          <w:color w:val="auto"/>
        </w:rPr>
        <w:t>The primary objectives of our investment activities are to ensure liquidity and to preserve capital. As of December 31, 2025, we had $2.1 million in interest bearing money market accounts with maturities of less than three months. As of December 31, 2025, we had $174.9 million in marketable securities. Our exposure to interest rate sensitivity is impacted by changes in the underlying bank interest rates. Our surplus cash has been invested in overnight cash sweeps, money market funds, U.S. Treasury bills and U.S. Treasury notes.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 As of December 31, 2025, we had no debt outstanding that is subject to interest rate variability. Therefore, we are not subject to interest rate risk related to debt.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84" w:lineRule="exact"/>
        <w:rPr>
          <w:sz w:val="20"/>
          <w:szCs w:val="20"/>
          <w:color w:val="auto"/>
        </w:rPr>
      </w:pPr>
    </w:p>
    <w:p>
      <w:pPr>
        <w:ind w:left="640" w:right="759" w:firstLine="438"/>
        <w:spacing w:after="0" w:line="244" w:lineRule="auto"/>
        <w:rPr>
          <w:sz w:val="20"/>
          <w:szCs w:val="20"/>
          <w:color w:val="auto"/>
        </w:rPr>
      </w:pPr>
      <w:r>
        <w:rPr>
          <w:rFonts w:ascii="Arial" w:cs="Arial" w:eastAsia="Arial" w:hAnsi="Arial"/>
          <w:sz w:val="14"/>
          <w:szCs w:val="14"/>
          <w:color w:val="auto"/>
        </w:rPr>
        <w:t>Our employees and our operations are currently predominately located in the United States and our expenses are generally denominated in U.S. dollars. However, we do have a small number of employees located in Germany and use research and development vendors outside of the United States. As such, our expenses are denominated in both U.S. dollars and foreign currencies. In addition, we translate the assets and liabilities of our foreign subsidiaries from their respective functional currencies to U.S. dollars at the appropriate rates as of the balance sheet date. Changes in the carrying value of these assets and liabilities attributable to fluctuations in rates are included in accumulated other comprehensive income (loss) on our consolidated balance sheets. Income statement accounts are translated using the monthly average exchange rates during the year. Therefore, our operations are and will continue to be subject to fluctuations in foreign currency exchange rates. Foreign currency transaction gains and losses are included in other income (expense), net in the consolidated statements of operations and comprehensive loss as incurred.</w:t>
      </w:r>
    </w:p>
    <w:p>
      <w:pPr>
        <w:spacing w:after="0" w:line="60" w:lineRule="exact"/>
        <w:rPr>
          <w:sz w:val="20"/>
          <w:szCs w:val="20"/>
          <w:color w:val="auto"/>
        </w:rPr>
      </w:pPr>
    </w:p>
    <w:p>
      <w:pPr>
        <w:ind w:left="640" w:right="739" w:firstLine="438"/>
        <w:spacing w:after="0" w:line="254" w:lineRule="auto"/>
        <w:rPr>
          <w:sz w:val="20"/>
          <w:szCs w:val="20"/>
          <w:color w:val="auto"/>
        </w:rPr>
      </w:pPr>
      <w:r>
        <w:rPr>
          <w:rFonts w:ascii="Arial" w:cs="Arial" w:eastAsia="Arial" w:hAnsi="Arial"/>
          <w:sz w:val="14"/>
          <w:szCs w:val="14"/>
          <w:color w:val="auto"/>
        </w:rPr>
        <w:t>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elsewhere in this prospectus.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Emerging Growth Company and Smaller Reporting Company Status</w:t>
      </w:r>
    </w:p>
    <w:p>
      <w:pPr>
        <w:spacing w:after="0" w:line="86" w:lineRule="exact"/>
        <w:rPr>
          <w:sz w:val="20"/>
          <w:szCs w:val="20"/>
          <w:color w:val="auto"/>
        </w:rPr>
      </w:pPr>
    </w:p>
    <w:p>
      <w:pPr>
        <w:ind w:left="640" w:right="659" w:firstLine="438"/>
        <w:spacing w:after="0" w:line="243" w:lineRule="auto"/>
        <w:rPr>
          <w:sz w:val="20"/>
          <w:szCs w:val="20"/>
          <w:color w:val="auto"/>
        </w:rPr>
      </w:pPr>
      <w:r>
        <w:rPr>
          <w:rFonts w:ascii="Arial" w:cs="Arial" w:eastAsia="Arial" w:hAnsi="Arial"/>
          <w:sz w:val="14"/>
          <w:szCs w:val="14"/>
          <w:color w:val="auto"/>
        </w:rPr>
        <w:t>We qualify as an “emerging growth company,” or an EGC, as defined in the Jumpstart Our Business Startup Act, or the JOBS Act. As an EGC, we may take advantage of specified reduced disclosure and other requirements that are otherwise applicable generally to public companies. These provisions include: (i) being permitted to present only two years of audited financial statements, in addition to any required unaudited condensed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(v) an exemption from compliance with the requirements of the Public Company Accounting Oversight Board regarding the communication of critical audit matters, or CAMS, in our auditor’s report on the financial statements and (vi) being permitted to take advantage of an extended transition period for complying with new or revised accounting standards, which allows us to delay the adoption of certain accounting standards until those standards would otherwise apply to private companies.</w:t>
      </w:r>
    </w:p>
    <w:p>
      <w:pPr>
        <w:spacing w:after="0" w:line="61" w:lineRule="exact"/>
        <w:rPr>
          <w:sz w:val="20"/>
          <w:szCs w:val="20"/>
          <w:color w:val="auto"/>
        </w:rPr>
      </w:pPr>
    </w:p>
    <w:p>
      <w:pPr>
        <w:ind w:left="640" w:right="659" w:firstLine="438"/>
        <w:spacing w:after="0" w:line="244" w:lineRule="auto"/>
        <w:rPr>
          <w:sz w:val="20"/>
          <w:szCs w:val="20"/>
          <w:color w:val="auto"/>
        </w:rPr>
      </w:pPr>
      <w:r>
        <w:rPr>
          <w:rFonts w:ascii="Arial" w:cs="Arial" w:eastAsia="Arial" w:hAnsi="Arial"/>
          <w:sz w:val="14"/>
          <w:szCs w:val="14"/>
          <w:color w:val="auto"/>
        </w:rPr>
        <w:t>We may take advantage of these exemptions for up to five years or such earlier time that we are no longer an EGC. We would cease to be an EGC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not to “opt out” of the extended transition period for new or revised accounting standards described above. As a result of these decisions,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60" w:lineRule="exact"/>
        <w:rPr>
          <w:sz w:val="20"/>
          <w:szCs w:val="20"/>
          <w:color w:val="auto"/>
        </w:rPr>
      </w:pPr>
    </w:p>
    <w:p>
      <w:pPr>
        <w:ind w:left="640" w:right="659" w:firstLine="438"/>
        <w:spacing w:after="0" w:line="245" w:lineRule="auto"/>
        <w:rPr>
          <w:sz w:val="20"/>
          <w:szCs w:val="20"/>
          <w:color w:val="auto"/>
        </w:rPr>
      </w:pPr>
      <w:r>
        <w:rPr>
          <w:rFonts w:ascii="Arial" w:cs="Arial" w:eastAsia="Arial" w:hAnsi="Arial"/>
          <w:sz w:val="14"/>
          <w:szCs w:val="14"/>
          <w:color w:val="auto"/>
        </w:rPr>
        <w:t>We are also a “smaller reporting company,” as defined in the Exchange Act.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6" w:name="page97"/>
    <w:bookmarkEnd w:id="9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BUSINESS</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86" w:lineRule="exact"/>
        <w:rPr>
          <w:sz w:val="20"/>
          <w:szCs w:val="20"/>
          <w:color w:val="auto"/>
        </w:rPr>
      </w:pPr>
    </w:p>
    <w:p>
      <w:pPr>
        <w:ind w:left="640" w:right="699" w:firstLine="443"/>
        <w:spacing w:after="0" w:line="243" w:lineRule="auto"/>
        <w:rPr>
          <w:sz w:val="20"/>
          <w:szCs w:val="20"/>
          <w:color w:val="auto"/>
        </w:rPr>
      </w:pPr>
      <w:r>
        <w:rPr>
          <w:rFonts w:ascii="Arial" w:cs="Arial" w:eastAsia="Arial" w:hAnsi="Arial"/>
          <w:sz w:val="14"/>
          <w:szCs w:val="14"/>
          <w:color w:val="auto"/>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Our model for drug discovery and development is based on past experience building other successful biopharmaceutical companies. Since our founding in 2021, we have efficiently assembled a portfolio of internally discovered product candidates that we believe have the potential to induce deep and durable remission for patients across several inflammatory diseases with unmet need. We have prioritized targets where we believe the underlying disease biology is understood through genetic, clinical, or translational evidence. Our most advanced programs include OD-001, an oral small-molecule scaffolding inhibitor of receptor-interacting protein kinase 2, or RIPK2, and an oral small-molecule inhibitor of solute carrier family 15 member 4, or SLC15A4. These programs have the potential to yield treatments for inflammatory and autoimmune diseases that have large, addressable patient populations globally and a lack of effective treatments, including inflammatory bowel disease, or IBD, systemic lupus erythematosus, or SLE, and other disorders characterized either by the chronic overactivation of the type I interferon pathway, referred to as interferonopathies, or by pathogenic autoreactive B cells.</w:t>
      </w:r>
    </w:p>
    <w:p>
      <w:pPr>
        <w:spacing w:after="0" w:line="57" w:lineRule="exact"/>
        <w:rPr>
          <w:sz w:val="20"/>
          <w:szCs w:val="20"/>
          <w:color w:val="auto"/>
        </w:rPr>
      </w:pPr>
    </w:p>
    <w:p>
      <w:pPr>
        <w:ind w:left="640" w:right="739" w:firstLine="443"/>
        <w:spacing w:after="0" w:line="244" w:lineRule="auto"/>
        <w:rPr>
          <w:sz w:val="20"/>
          <w:szCs w:val="20"/>
          <w:color w:val="auto"/>
        </w:rPr>
      </w:pPr>
      <w:r>
        <w:rPr>
          <w:rFonts w:ascii="Arial" w:cs="Arial" w:eastAsia="Arial" w:hAnsi="Arial"/>
          <w:sz w:val="14"/>
          <w:szCs w:val="14"/>
          <w:color w:val="auto"/>
        </w:rPr>
        <w:t>The immune system has two main components: (1) the innate immune system, composed of cells like macrophages and neutrophils, is the first line of defense to eliminate pathogens, and (2) the adaptive immune system, made up of B and T cells, also functions to eliminate pathogens but is responsible for establishing durable immunological memory. Adaptive immunity has been studied for decades and its role in disease is well understood. This knowledge underpinned the discovery and development of many currently existing medicines for inflammatory diseases. However, industry knowledge of innate immunity has lagged and only recently has there been a sufficient understanding to enable successful drug discovery. Based on this biology, we believe that modulating key signaling nodes in the innate immune system, given its proximal role in initiating immune responses, has the potential to afford more effective and safer immunomodulators that could provide transformative benefit for patients. Therapies targeting initial innate immune responses have the potential to serve as new tools in the prescriber toolbox, providing the potential to prevent pathologic inflammation from initiating versus neutralizing downstream inflammatory mediators or adaptive immune cells (akin to stopping a fire from starting versus having to put it out).</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Our wholly owned and publicly disclosed drug development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132080</wp:posOffset>
            </wp:positionV>
            <wp:extent cx="4909820" cy="25234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09820" cy="252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7" w:name="page98"/>
    <w:bookmarkEnd w:id="9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OD-001, our oral small-molecule RIPK2 scaffolding inhibitor product candidate, has achieved proof-of-concept in a phase 2a trial for the treatment of ulcerative colitis, or UC, which is one of the two main types of IBD. IBD is an autoimmune disease that degrades, damages, and can perforate the gastrointestinal, or GI, tract and afflicts two-to-three million people in the United States. Despite there being more than ten approved therapies spanning multiple mechanisms of action, placebo-adjusted remission rates for IBD range from about 10% to 26% and generally do not exceed around 20% (a so-called “therapeutic ceiling”). Moreover, 45% of patients who initially respond to treatment with existing approved therapies lose response within five years.</w:t>
      </w:r>
    </w:p>
    <w:p>
      <w:pPr>
        <w:spacing w:after="0" w:line="129" w:lineRule="exact"/>
        <w:rPr>
          <w:sz w:val="20"/>
          <w:szCs w:val="20"/>
          <w:color w:val="auto"/>
        </w:rPr>
      </w:pPr>
    </w:p>
    <w:p>
      <w:pPr>
        <w:ind w:left="640" w:right="679" w:firstLine="443"/>
        <w:spacing w:after="0" w:line="241" w:lineRule="auto"/>
        <w:rPr>
          <w:sz w:val="20"/>
          <w:szCs w:val="20"/>
          <w:color w:val="auto"/>
        </w:rPr>
      </w:pPr>
      <w:r>
        <w:rPr>
          <w:rFonts w:ascii="Arial" w:cs="Arial" w:eastAsia="Arial" w:hAnsi="Arial"/>
          <w:sz w:val="14"/>
          <w:szCs w:val="14"/>
          <w:color w:val="auto"/>
        </w:rPr>
        <w:t>RIPK2 is a critical signaling protein of the innate immune system that responds to bacterial byproducts from the GI tract and has been implicated both as an initiator of IBD and as a disease mechanism that remains elevated in patients resistant to standard-of-care therapies, including tumor necrosis factor, or TNF, and integrin-blocking therapies. Based on the observations of increased activation of RIPK2 in IBD patients, the linkage of RIPK2-associated gene expression with disease severity and the reduction of disease following RIPK2 knockout or inhibition in preclinical models, we believe that blocking RIPK2 has the potential to address the core pathology of IBD. RIPK2 inhibition blocks the production of multiple cytokines in response to bacterial byproducts, many of which are validated therapeutic targets for IBD treatment, including TNF, TNF-like cytokine 1A, or TL1A, and interleukin 23, or IL-23. By blocking these cytokines, the adaptive immune response is reduced. In addition, by blocking RIPK2, we believe we can also prevent direct damage to the gut epithelial lining by the activation of innate immune cells. Leveraging our platform capabilities, our development candidate OD-001 was discovered and nominated to progress into clinical trials in under 24 months. We believe that OD-001, as either monotherapy or in combination with existing therapies, has the potential to break the therapeutic ceiling in IBD. In our completed phase 1 healthy participant trial conducted in Australia, OD-001 was well tolerated at and above doses expected to provide desired therapeutic target coverage. Subsequently, in May 2025, we initiated dosing in an open-label phase 2a trial assessing OD-001 as a monotherapy at two dose levels in UC patients and we currently expect to release topline induction results from both doses in April 2026. As of the date of this prospectus, we have completed dosing of OD-001 in 49 patients in part 1 and part 2 of this phase 2a clinical trial and have observed patient benefit that is concordant across multiple disease-relevant endpoints. With regard to safety and tolerability, across all 53 patients enrolled, OD-001 has been well tolerated with no serious adverse events, or SAEs, or discontinuations due to adverse events, or AEs. Pending discussion with regulatory agencies, we expect to commence a randomized, double-blind phase 2a combination trial assessing OD-001 with an integrin-blocking therapy, vedolizumab, compared to vedolizumab plus placebo in the second half of 2026 and we expect to release topline induction results from this trial in the second half of 2027. In addition, we expect to initiate a phase 2b randomized, double-blind, placebo -controlled trial assessing two dose levels of OD-001 as a monotherapy compared to placebo in the second half of 2026, with topline monotherapy induction results from that trial expected in the second half of 2027. As of the date of this prospectus, our ongoing RIPK2 phase 2a trial has recruited patients from 18 sites across seven countries including Australia, Canada, Jordan, Moldova, New Zealand, Poland, and Ukraine. We anticipate conducting our future trials at sites both in the United States and the rest of the world pending approval and clearance to proceed by the applicable regulatory authorities.</w:t>
      </w:r>
    </w:p>
    <w:p>
      <w:pPr>
        <w:spacing w:after="0" w:line="145"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OD-002 is our oral small-molecule SLC15A4 inhibitor product candidate, currently in IND-enabling studies. OD-002, which was discovered by leveraging our artificial intelligence/machine learning, or AI/ML, platform and advanced from discovery to development candidate nomination in 14 months, is designed to block inflammatory signaling triggered by nucleic acid driven activation of toll-like receptors—TLR7, TLR8, and TLR9. Nucleic acids, including both RNA and DNA, initiate and sustain a broad spectrum of inflammatory diseases, including interferonopathies. SLC15A4 is an endolysosomal membrane protein that is required for key elements of the cellular response to nucleic acid activation by TLR7, TLR8, and TLR9. This signaling pathway controls the production of type I interferon, proinflammatory cytokines, and chemokines, and causes pathogenic B cell activation. Our product candidate is designed to address the limitations of other approaches targeting nucleic acid receptor pathways or downstream inflammatory mediators, such as TLR7/8 inhibitors or interferon blockers, respectively. We believe targeting SLC15A4 has the potential to improve on the early phase 1b/2a efficacy data observed with TLR7/8 inhibitors, such as enpatoran or afimetoran, by not only inhibiting TLR7 and TLR8 signaling, but also inhibiting signaling from DNA, through TLR9. In addition, we believe targeting SLC15A4 has the potential to improve on the efficacy observed with an approved type I interferon blocker, anifrolumab, by inhibiting other cytokines and chemokines, and pathogenic B cell responses. On the basis of this expected profile, in addition to SLE, we believe SLC15A4 inhibition has the potential to be developed for multiple inflammatory or interferon-mediated diseases, including cutaneous lupus erythematosus, or CLE, Sjögren’s syndrome, dermatomyositis, systemic sclerosis, nephropathies, and potentially more broadly for B cell-driven autoimmune diseases. We expect to commence a phase 1/2a trial that will enroll healthy participants and patients with inflammatory or autoimmune diseases, such as CLE, and will consist of a single ascending dose, or SAD, component, and a multiple ascending dose, or MAD, component to assess safety, pharmacokinetics, or PK, and pharmacodynamics, or PD. We expect this trial will enroll two to three cohorts of patients in a basket trial, with one group including up to 30 patients with CLE who will be evaluated for 12-week safety, biomarkers, and efficacy using disease-specific endpoints such as the CLE disease area and severity index, or</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8" w:name="page99"/>
    <w:bookmarkEnd w:id="9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659"/>
        <w:spacing w:after="0" w:line="261" w:lineRule="auto"/>
        <w:rPr>
          <w:sz w:val="20"/>
          <w:szCs w:val="20"/>
          <w:color w:val="auto"/>
        </w:rPr>
      </w:pPr>
      <w:r>
        <w:rPr>
          <w:rFonts w:ascii="Arial" w:cs="Arial" w:eastAsia="Arial" w:hAnsi="Arial"/>
          <w:sz w:val="14"/>
          <w:szCs w:val="14"/>
          <w:color w:val="auto"/>
        </w:rPr>
        <w:t>CLASI. Pending an acceptable profile in our ongoing IND-enabling studies, we intend to file a clinical trial application, or CTA, outside the United States and commence this phase 1/2a trial in the first half of 2027 (pending approval to proceed from the relevant regulatory authority) and report results from the dosing of healthy participants in the second half of 2027.</w:t>
      </w:r>
    </w:p>
    <w:p>
      <w:pPr>
        <w:spacing w:after="0" w:line="44"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In addition to our lead programs, we are advancing several earlier-stage programs targeting key signaling pathways involved in immune-mediated disease. These include OD-003, a protein therapeutic designed to selectively agonize tumor necrosis factor receptor 2, or TNFR2, to activate and expand regulatory T cells, or Treg. We are also developing OD-004, a bispecific protein antagonist of thymic stromal lymphopoietin, or TSLP, and interleukin-33, or IL-33, two upstream alarmins with redundant and compensatory signaling activity that drive inflammatory responses in respiratory diseases such as asthma and c</w:t>
      </w:r>
      <w:r>
        <w:rPr>
          <w:rFonts w:ascii="Arial" w:cs="Arial" w:eastAsia="Arial" w:hAnsi="Arial"/>
          <w:sz w:val="14"/>
          <w:szCs w:val="14"/>
          <w:color w:val="0A0A0A"/>
        </w:rPr>
        <w:t>hronic obstructive pulmonary disease, or</w:t>
      </w:r>
      <w:r>
        <w:rPr>
          <w:rFonts w:ascii="Arial" w:cs="Arial" w:eastAsia="Arial" w:hAnsi="Arial"/>
          <w:sz w:val="14"/>
          <w:szCs w:val="14"/>
          <w:color w:val="auto"/>
        </w:rPr>
        <w:t xml:space="preserve"> COPD. We are also developing a small-molecule scaffolding inhibitor of interleukin-1 receptor-associated kinase 4, or IRAK4, which is a key protein in the myddosome complex that controls inflammatory signaling relevant in many inflammatory and autoimmune diseases. Finally, through a collaboration with Terray Therapeutics, Inc., or Terray, we are developing a small-molecule inhibitor of interferon regulatory factor 5, or IRF5, a transcription factor that regulates multiple proinflammatory signaling pathways and represents a complementary therapeutic strategy to our wholly owned SLC15A4 inhibitor.</w:t>
      </w:r>
    </w:p>
    <w:p>
      <w:pPr>
        <w:spacing w:after="0" w:line="47" w:lineRule="exact"/>
        <w:rPr>
          <w:sz w:val="20"/>
          <w:szCs w:val="20"/>
          <w:color w:val="auto"/>
        </w:rPr>
      </w:pPr>
    </w:p>
    <w:p>
      <w:pPr>
        <w:ind w:left="640" w:right="639" w:firstLine="443"/>
        <w:spacing w:after="0" w:line="242" w:lineRule="auto"/>
        <w:rPr>
          <w:sz w:val="20"/>
          <w:szCs w:val="20"/>
          <w:color w:val="auto"/>
        </w:rPr>
      </w:pPr>
      <w:r>
        <w:rPr>
          <w:rFonts w:ascii="Arial" w:cs="Arial" w:eastAsia="Arial" w:hAnsi="Arial"/>
          <w:sz w:val="14"/>
          <w:szCs w:val="14"/>
          <w:color w:val="auto"/>
        </w:rPr>
        <w:t>We are led by Gary D. Glick, Ph.D., our founder, President and Chief Executive Officer, and Jeffrey M. Leiden, M.D., Ph.D., the Chair of our board of directors and the former President, Chief Executive Officer and Chairman of the board and current Executive Chairman of Vertex Pharmaceuticals Incorporated, or Vertex. Prior to founding our company in 2021, Dr. Glick was the founder and Chief Executive Officer of Scorpion Therapeutics, Inc., or Scorpion, where he led the initiation and early discovery of several programs, including STX-478, a mutant selective PI3K inhibitor. In early 2025, it was announced that Eli Lilly and Company had entered into a definitive agreement to acquire Scorpion for up to $ 2.5 billion in cash. Before Scorpion, Dr. Glick was the founder and Chief Executive Officer of IFM Therapeutics, LLC, or IFM, a company that was the first to target the NLRP3 inflammasome and stimulator of interferon genes, or STING. At IFM, Dr. Glick completed three sales of drug development programs generating proceeds to date of $750 million. Subject to the achievement of various milestones, proceeds from those sales could reach more than $4.7 billion. Earlier in his career, Dr. Glick founded Lycera Corporation, or Lycera, based on his academic research. As Chief Scientific Officer of Lycera, Dr. Glick successfully completed more than $600 million of program partnering transactions. Drs. Glick and Leiden lead our team of experienced drug hunters and developers with deep experience in identifying, developing, and commercializing medicines across indications and drug types.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and Vertex. The past performance by our management team and directors, including investments and transactions in which they have participated and businesses with which they have been associated, may not be indicative of future performance of an investment in us. Since our inception in 2021, we have raised an aggregate of approximately $726.0 million from over 30 venture capital investors, mutual funds, long-only funds, global family offices, and corporate venture funds.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Our Strengths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We believe the success of our efforts will be driven by the following differentiating factors:</w:t>
      </w:r>
    </w:p>
    <w:p>
      <w:pPr>
        <w:spacing w:after="0" w:line="86" w:lineRule="exact"/>
        <w:rPr>
          <w:sz w:val="20"/>
          <w:szCs w:val="20"/>
          <w:color w:val="auto"/>
        </w:rPr>
      </w:pPr>
    </w:p>
    <w:p>
      <w:pPr>
        <w:ind w:left="1260" w:right="659" w:hanging="179"/>
        <w:spacing w:after="0" w:line="248" w:lineRule="auto"/>
        <w:tabs>
          <w:tab w:leader="none" w:pos="1260"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Our deep knowledge of human immune biology. </w:t>
      </w:r>
      <w:r>
        <w:rPr>
          <w:rFonts w:ascii="Arial" w:cs="Arial" w:eastAsia="Arial" w:hAnsi="Arial"/>
          <w:sz w:val="14"/>
          <w:szCs w:val="14"/>
          <w:color w:val="auto"/>
        </w:rPr>
        <w:t>Our portfolio leverages our comprehensive grasp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complex and interrelated nature of the immune system to address a broader range of targets or mechanisms than historically undertaken by biopharmaceutical companies. Through our own research efforts and through collaboration with our scientific co-founders and scientific advisory board members, our research is driven by our access to differentiated insights, findings, and datasets that can help guide target selection and inform clinical trial design.</w:t>
      </w:r>
    </w:p>
    <w:p>
      <w:pPr>
        <w:spacing w:after="0" w:line="53" w:lineRule="exact"/>
        <w:rPr>
          <w:rFonts w:ascii="Times New Roman" w:cs="Times New Roman" w:eastAsia="Times New Roman" w:hAnsi="Times New Roman"/>
          <w:sz w:val="14"/>
          <w:szCs w:val="14"/>
          <w:color w:val="auto"/>
        </w:rPr>
      </w:pPr>
    </w:p>
    <w:p>
      <w:pPr>
        <w:ind w:left="1260" w:right="719" w:hanging="179"/>
        <w:spacing w:after="0" w:line="248" w:lineRule="auto"/>
        <w:tabs>
          <w:tab w:leader="none" w:pos="1260"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Our expertise in small molecules and protein therapeutics allows us to tackle a broad range of therapeutic targets. </w:t>
      </w:r>
      <w:r>
        <w:rPr>
          <w:rFonts w:ascii="Arial" w:cs="Arial" w:eastAsia="Arial" w:hAnsi="Arial"/>
          <w:sz w:val="14"/>
          <w:szCs w:val="14"/>
          <w:color w:val="auto"/>
        </w:rPr>
        <w:t>We have deep organizational expertise in medicinal and protein chemistry along with</w:t>
      </w:r>
      <w:r>
        <w:rPr>
          <w:rFonts w:ascii="Arial" w:cs="Arial" w:eastAsia="Arial" w:hAnsi="Arial"/>
          <w:sz w:val="14"/>
          <w:szCs w:val="14"/>
          <w:b w:val="1"/>
          <w:bCs w:val="1"/>
          <w:color w:val="auto"/>
        </w:rPr>
        <w:t xml:space="preserve"> </w:t>
      </w:r>
      <w:r>
        <w:rPr>
          <w:rFonts w:ascii="Arial" w:cs="Arial" w:eastAsia="Arial" w:hAnsi="Arial"/>
          <w:sz w:val="14"/>
          <w:szCs w:val="14"/>
          <w:color w:val="auto"/>
        </w:rPr>
        <w:t>structural biology and biophysics, and we have efficiently invested to enable discovery and development across both modalities. This expertise enables us to take a structure-guided approach across our entire portfolio and provides the foundation to address historically challenging targets. For each program, we invest in multiple distinct series of product candidates to maximize the probability of success.</w:t>
      </w:r>
    </w:p>
    <w:p>
      <w:pPr>
        <w:spacing w:after="0" w:line="53" w:lineRule="exact"/>
        <w:rPr>
          <w:rFonts w:ascii="Times New Roman" w:cs="Times New Roman" w:eastAsia="Times New Roman" w:hAnsi="Times New Roman"/>
          <w:sz w:val="14"/>
          <w:szCs w:val="14"/>
          <w:color w:val="auto"/>
        </w:rPr>
      </w:pPr>
    </w:p>
    <w:p>
      <w:pPr>
        <w:ind w:left="1260" w:right="699" w:hanging="179"/>
        <w:spacing w:after="0" w:line="248" w:lineRule="auto"/>
        <w:tabs>
          <w:tab w:leader="none" w:pos="1260"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Highly productive and efficient research and development capabilities. </w:t>
      </w:r>
      <w:r>
        <w:rPr>
          <w:rFonts w:ascii="Arial" w:cs="Arial" w:eastAsia="Arial" w:hAnsi="Arial"/>
          <w:sz w:val="14"/>
          <w:szCs w:val="14"/>
          <w:color w:val="auto"/>
        </w:rPr>
        <w:t>Since our founding in 2021, we</w:t>
      </w:r>
      <w:r>
        <w:rPr>
          <w:rFonts w:ascii="Arial" w:cs="Arial" w:eastAsia="Arial" w:hAnsi="Arial"/>
          <w:sz w:val="14"/>
          <w:szCs w:val="14"/>
          <w:b w:val="1"/>
          <w:bCs w:val="1"/>
          <w:color w:val="auto"/>
        </w:rPr>
        <w:t xml:space="preserve"> </w:t>
      </w:r>
      <w:r>
        <w:rPr>
          <w:rFonts w:ascii="Arial" w:cs="Arial" w:eastAsia="Arial" w:hAnsi="Arial"/>
          <w:sz w:val="14"/>
          <w:szCs w:val="14"/>
          <w:color w:val="auto"/>
        </w:rPr>
        <w:t>have internally discovered and developed a broad portfolio of product candidates and achieved clinical proof-of-concept for our lead program, OD-001, in March 2026. Our regulatory strategy is globally focused and generally utilizes CTA submissions prior to IND filings to accelerate development timelines through a streamlined submission process. We believe that this strategy allows us to enter the clinic sooner, ensures inclusion of high-enrolling sites globally by allowing us to target sites in countries with high incidence of the disease (thereby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9" w:name="page100"/>
    <w:bookmarkEnd w:id="9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739"/>
        <w:spacing w:after="0" w:line="254" w:lineRule="auto"/>
        <w:rPr>
          <w:sz w:val="20"/>
          <w:szCs w:val="20"/>
          <w:color w:val="auto"/>
        </w:rPr>
      </w:pPr>
      <w:r>
        <w:rPr>
          <w:rFonts w:ascii="Arial" w:cs="Arial" w:eastAsia="Arial" w:hAnsi="Arial"/>
          <w:sz w:val="14"/>
          <w:szCs w:val="14"/>
          <w:color w:val="auto"/>
        </w:rPr>
        <w:t>potentially increasing the speed of enrollment), and potentially reduces research and development costs by allowing us to leverage local tax incentives available to companies conducting clinical trials in foreign jurisdictions. In designing our phase 1 and phase 2 trials, we strive to efficiently obtain proof-of-mechanism and proof-of-concept readouts, respectively.</w:t>
      </w:r>
    </w:p>
    <w:p>
      <w:pPr>
        <w:spacing w:after="0" w:line="49" w:lineRule="exact"/>
        <w:rPr>
          <w:sz w:val="20"/>
          <w:szCs w:val="20"/>
          <w:color w:val="auto"/>
        </w:rPr>
      </w:pPr>
    </w:p>
    <w:p>
      <w:pPr>
        <w:ind w:left="1260" w:right="679" w:hanging="179"/>
        <w:spacing w:after="0" w:line="254" w:lineRule="auto"/>
        <w:tabs>
          <w:tab w:leader="none" w:pos="1260" w:val="left"/>
        </w:tabs>
        <w:numPr>
          <w:ilvl w:val="0"/>
          <w:numId w:val="6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Our management team and board of directors have a long track record of therapeutic development and company building. </w:t>
      </w:r>
      <w:r>
        <w:rPr>
          <w:rFonts w:ascii="Arial" w:cs="Arial" w:eastAsia="Arial" w:hAnsi="Arial"/>
          <w:sz w:val="14"/>
          <w:szCs w:val="14"/>
          <w:color w:val="auto"/>
        </w:rPr>
        <w:t>Throughout their careers, our management team and board of directors have played critical</w:t>
      </w:r>
      <w:r>
        <w:rPr>
          <w:rFonts w:ascii="Arial" w:cs="Arial" w:eastAsia="Arial" w:hAnsi="Arial"/>
          <w:sz w:val="14"/>
          <w:szCs w:val="14"/>
          <w:b w:val="1"/>
          <w:bCs w:val="1"/>
          <w:color w:val="auto"/>
        </w:rPr>
        <w:t xml:space="preserve"> </w:t>
      </w:r>
      <w:r>
        <w:rPr>
          <w:rFonts w:ascii="Arial" w:cs="Arial" w:eastAsia="Arial" w:hAnsi="Arial"/>
          <w:sz w:val="14"/>
          <w:szCs w:val="14"/>
          <w:color w:val="auto"/>
        </w:rPr>
        <w:t>roles as successful drug hunters in the discovery, development, acquisition, and commercialization of multiple blockbuster therapies and in founding and building biopharmaceutical companies.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Our Strategy</w:t>
      </w:r>
    </w:p>
    <w:p>
      <w:pPr>
        <w:spacing w:after="0" w:line="86"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Our goal is to continue building a differentiated, global biopharmaceutical company by discovering, developing, and commercializing transformative medicines for underserved patient populations. We aim to be an industry leader in immunology and are advancing a diversified portfolio of programs with the intention of efficiently delivering safe and effective medicines to patients.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key elements of our strategy include:</w:t>
      </w:r>
    </w:p>
    <w:p>
      <w:pPr>
        <w:spacing w:after="0" w:line="86" w:lineRule="exact"/>
        <w:rPr>
          <w:sz w:val="20"/>
          <w:szCs w:val="20"/>
          <w:color w:val="auto"/>
        </w:rPr>
      </w:pPr>
    </w:p>
    <w:p>
      <w:pPr>
        <w:ind w:left="1260" w:right="679" w:hanging="179"/>
        <w:spacing w:after="0" w:line="243" w:lineRule="auto"/>
        <w:tabs>
          <w:tab w:leader="none" w:pos="1260" w:val="left"/>
        </w:tabs>
        <w:numPr>
          <w:ilvl w:val="0"/>
          <w:numId w:val="63"/>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Advance our RIPK2 scaffolding inhibitor, OD-001, to deliver a potentially transformative therapy for patients suffering from inflammatory bowel disease. </w:t>
      </w:r>
      <w:r>
        <w:rPr>
          <w:rFonts w:ascii="Arial" w:cs="Arial" w:eastAsia="Arial" w:hAnsi="Arial"/>
          <w:sz w:val="14"/>
          <w:szCs w:val="14"/>
          <w:color w:val="auto"/>
        </w:rPr>
        <w:t>Currently, there are few oral advanced therapies</w:t>
      </w:r>
      <w:r>
        <w:rPr>
          <w:rFonts w:ascii="Arial" w:cs="Arial" w:eastAsia="Arial" w:hAnsi="Arial"/>
          <w:sz w:val="14"/>
          <w:szCs w:val="14"/>
          <w:b w:val="1"/>
          <w:bCs w:val="1"/>
          <w:color w:val="auto"/>
        </w:rPr>
        <w:t xml:space="preserve"> </w:t>
      </w:r>
      <w:r>
        <w:rPr>
          <w:rFonts w:ascii="Arial" w:cs="Arial" w:eastAsia="Arial" w:hAnsi="Arial"/>
          <w:sz w:val="14"/>
          <w:szCs w:val="14"/>
          <w:color w:val="auto"/>
        </w:rPr>
        <w:t>approved for the treatment of IBD and those that are available may not be conducive for use in combination with existing standard of care to improve outcomes safely. We believe OD-001 has the potential to be the first approved oral therapy for use as a monotherapy or in combination with other advanced therapies in patients with moderate-to-severe disease to potentially break the therapeutic ceiling. We achieved proof-of-concept with OD-001 in a phase 2a trial assessing OD-001 as a monotherapy in UC patients in March 2026, with topline induction results expected in April 2026. Following the completion of this trial and pending discussion with regulatory agencies, we expect to initiate a phase 2b double-blind, randomized and placebo-controlled trial assessing OD-001 as a monotherapy in the second half of 2026, with topline monotherapy induction results expected in the second half of 2027. We also expect to commence a randomized, double-blind phase 2a trial assessing OD-001 in combination with vedolizumab for induction therapy in UC patients compared to vedolizumab plus placebo, followed by OD-001-only maintenance treatment, in the second half of 2026. We expect to release topline combination induction results from this trial in the second half of 2027 and topline OD-001 monotherapy maintenance results in the second half of 2028.</w:t>
      </w:r>
    </w:p>
    <w:p>
      <w:pPr>
        <w:spacing w:after="0" w:line="56" w:lineRule="exact"/>
        <w:rPr>
          <w:rFonts w:ascii="Times New Roman" w:cs="Times New Roman" w:eastAsia="Times New Roman" w:hAnsi="Times New Roman"/>
          <w:sz w:val="14"/>
          <w:szCs w:val="14"/>
          <w:color w:val="auto"/>
        </w:rPr>
      </w:pPr>
    </w:p>
    <w:p>
      <w:pPr>
        <w:ind w:left="1260" w:right="739" w:hanging="179"/>
        <w:spacing w:after="0" w:line="250" w:lineRule="auto"/>
        <w:tabs>
          <w:tab w:leader="none" w:pos="1260" w:val="left"/>
        </w:tabs>
        <w:numPr>
          <w:ilvl w:val="0"/>
          <w:numId w:val="63"/>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Advance our small-molecule inhibitor of SLC15A4, OD-002, into clinical development and assess its potential benefit across a range of interferon-mediated and B cell-driven autoimmune and inflammatory diseases</w:t>
      </w:r>
      <w:r>
        <w:rPr>
          <w:rFonts w:ascii="Arial" w:cs="Arial" w:eastAsia="Arial" w:hAnsi="Arial"/>
          <w:sz w:val="14"/>
          <w:szCs w:val="14"/>
          <w:color w:val="auto"/>
        </w:rPr>
        <w:t>. Pending acceptable results from ongoing IND-enabling studies, we intend to submit a CTA outside</w:t>
      </w:r>
      <w:r>
        <w:rPr>
          <w:rFonts w:ascii="Arial" w:cs="Arial" w:eastAsia="Arial" w:hAnsi="Arial"/>
          <w:sz w:val="14"/>
          <w:szCs w:val="14"/>
          <w:b w:val="1"/>
          <w:bCs w:val="1"/>
          <w:color w:val="auto"/>
        </w:rPr>
        <w:t xml:space="preserve"> </w:t>
      </w:r>
      <w:r>
        <w:rPr>
          <w:rFonts w:ascii="Arial" w:cs="Arial" w:eastAsia="Arial" w:hAnsi="Arial"/>
          <w:sz w:val="14"/>
          <w:szCs w:val="14"/>
          <w:color w:val="auto"/>
        </w:rPr>
        <w:t>the United States for our SLC15A4 inhibitor program in the second half of 2026 and, if cleared, to initiate a phase 1/2a trial in healthy participants and patients in the first half of 2027.</w:t>
      </w:r>
    </w:p>
    <w:p>
      <w:pPr>
        <w:spacing w:after="0" w:line="52" w:lineRule="exact"/>
        <w:rPr>
          <w:rFonts w:ascii="Times New Roman" w:cs="Times New Roman" w:eastAsia="Times New Roman" w:hAnsi="Times New Roman"/>
          <w:sz w:val="14"/>
          <w:szCs w:val="14"/>
          <w:color w:val="auto"/>
        </w:rPr>
      </w:pPr>
    </w:p>
    <w:p>
      <w:pPr>
        <w:ind w:left="1260" w:right="659" w:hanging="179"/>
        <w:spacing w:after="0" w:line="247" w:lineRule="auto"/>
        <w:tabs>
          <w:tab w:leader="none" w:pos="1260" w:val="left"/>
        </w:tabs>
        <w:numPr>
          <w:ilvl w:val="0"/>
          <w:numId w:val="63"/>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Invest in our early-stage pipeline to potentially enable a new clinical entry every 12-18 months. </w:t>
      </w:r>
      <w:r>
        <w:rPr>
          <w:rFonts w:ascii="Arial" w:cs="Arial" w:eastAsia="Arial" w:hAnsi="Arial"/>
          <w:sz w:val="14"/>
          <w:szCs w:val="14"/>
          <w:color w:val="auto"/>
        </w:rPr>
        <w:t>We intend</w:t>
      </w:r>
      <w:r>
        <w:rPr>
          <w:rFonts w:ascii="Arial" w:cs="Arial" w:eastAsia="Arial" w:hAnsi="Arial"/>
          <w:sz w:val="14"/>
          <w:szCs w:val="14"/>
          <w:b w:val="1"/>
          <w:bCs w:val="1"/>
          <w:color w:val="auto"/>
        </w:rPr>
        <w:t xml:space="preserve"> </w:t>
      </w:r>
      <w:r>
        <w:rPr>
          <w:rFonts w:ascii="Arial" w:cs="Arial" w:eastAsia="Arial" w:hAnsi="Arial"/>
          <w:sz w:val="14"/>
          <w:szCs w:val="14"/>
          <w:color w:val="auto"/>
        </w:rPr>
        <w:t>to advance one or more of our early-stage programs into clinical development and continue to invest in further elucidating immune biology to support new target discovery, validation, and therapeutic development. We expect this will allow us to build a diversified portfolio of candidates at various stages of development to create a repeatable drug development model with a sustainable organization size. The tools we provide our scientists, including AI/ML models, proteomics, and transcription factor reconstitution platforms, are purpose-built to support these goals.</w:t>
      </w:r>
    </w:p>
    <w:p>
      <w:pPr>
        <w:spacing w:after="0" w:line="53" w:lineRule="exact"/>
        <w:rPr>
          <w:rFonts w:ascii="Times New Roman" w:cs="Times New Roman" w:eastAsia="Times New Roman" w:hAnsi="Times New Roman"/>
          <w:sz w:val="14"/>
          <w:szCs w:val="14"/>
          <w:color w:val="auto"/>
        </w:rPr>
      </w:pPr>
    </w:p>
    <w:p>
      <w:pPr>
        <w:ind w:left="1260" w:right="699" w:hanging="179"/>
        <w:spacing w:after="0" w:line="250" w:lineRule="auto"/>
        <w:tabs>
          <w:tab w:leader="none" w:pos="1260" w:val="left"/>
        </w:tabs>
        <w:numPr>
          <w:ilvl w:val="0"/>
          <w:numId w:val="63"/>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Execute on our existing, and pursue additional, collaborations. </w:t>
      </w:r>
      <w:r>
        <w:rPr>
          <w:rFonts w:ascii="Arial" w:cs="Arial" w:eastAsia="Arial" w:hAnsi="Arial"/>
          <w:sz w:val="14"/>
          <w:szCs w:val="14"/>
          <w:color w:val="auto"/>
        </w:rPr>
        <w:t>A component of our corporate development</w:t>
      </w:r>
      <w:r>
        <w:rPr>
          <w:rFonts w:ascii="Arial" w:cs="Arial" w:eastAsia="Arial" w:hAnsi="Arial"/>
          <w:sz w:val="14"/>
          <w:szCs w:val="14"/>
          <w:b w:val="1"/>
          <w:bCs w:val="1"/>
          <w:color w:val="auto"/>
        </w:rPr>
        <w:t xml:space="preserve"> </w:t>
      </w:r>
      <w:r>
        <w:rPr>
          <w:rFonts w:ascii="Arial" w:cs="Arial" w:eastAsia="Arial" w:hAnsi="Arial"/>
          <w:sz w:val="14"/>
          <w:szCs w:val="14"/>
          <w:color w:val="auto"/>
        </w:rPr>
        <w:t>strategy is to collaborate with pharmaceutical and biotechnology companies on challenging targets of mutual interest to increase our probability of success by accessing unique tools and reducing our costs to enable the breadth of our portfolio. We have an ongoing collaboration with Terray on our IRF5 program. We intend to collaborate on additional programs and capabilities in the future.</w:t>
      </w:r>
    </w:p>
    <w:p>
      <w:pPr>
        <w:spacing w:after="0" w:line="52" w:lineRule="exact"/>
        <w:rPr>
          <w:rFonts w:ascii="Times New Roman" w:cs="Times New Roman" w:eastAsia="Times New Roman" w:hAnsi="Times New Roman"/>
          <w:sz w:val="14"/>
          <w:szCs w:val="14"/>
          <w:color w:val="auto"/>
        </w:rPr>
      </w:pPr>
    </w:p>
    <w:p>
      <w:pPr>
        <w:ind w:left="1260" w:right="659" w:hanging="179"/>
        <w:spacing w:after="0" w:line="254" w:lineRule="auto"/>
        <w:tabs>
          <w:tab w:leader="none" w:pos="1260" w:val="left"/>
        </w:tabs>
        <w:numPr>
          <w:ilvl w:val="0"/>
          <w:numId w:val="63"/>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Build our development capabilities to support advancement of candidates into late-stage development. </w:t>
      </w:r>
      <w:r>
        <w:rPr>
          <w:rFonts w:ascii="Arial" w:cs="Arial" w:eastAsia="Arial" w:hAnsi="Arial"/>
          <w:sz w:val="14"/>
          <w:szCs w:val="14"/>
          <w:color w:val="auto"/>
        </w:rPr>
        <w:t>It is our vision to create an integrated discovery, development, and commercialization biotechnology company. As we grow the size of our company and raise additional capital, our plan is to invest more into building in-house development capabilities to complement our use of external support.</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0" w:name="page101"/>
    <w:bookmarkEnd w:id="10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Our Team and Investors</w:t>
      </w:r>
    </w:p>
    <w:p>
      <w:pPr>
        <w:spacing w:after="0" w:line="86" w:lineRule="exact"/>
        <w:rPr>
          <w:sz w:val="20"/>
          <w:szCs w:val="20"/>
          <w:color w:val="auto"/>
        </w:rPr>
      </w:pPr>
    </w:p>
    <w:p>
      <w:pPr>
        <w:jc w:val="both"/>
        <w:ind w:left="640" w:right="899" w:firstLine="443"/>
        <w:spacing w:after="0" w:line="261" w:lineRule="auto"/>
        <w:rPr>
          <w:sz w:val="20"/>
          <w:szCs w:val="20"/>
          <w:color w:val="auto"/>
        </w:rPr>
      </w:pPr>
      <w:r>
        <w:rPr>
          <w:rFonts w:ascii="Arial" w:cs="Arial" w:eastAsia="Arial" w:hAnsi="Arial"/>
          <w:sz w:val="14"/>
          <w:szCs w:val="14"/>
          <w:color w:val="auto"/>
        </w:rPr>
        <w:t>We are led by Gary D. Glick, Ph.D., our founder, President and Chief Executive Officer, and Jeffrey M. Leiden, M.D., Ph.D., the Chair of our board of directors and the former President, Chief Executive Officer, and Chairman of the board and current Executive Chairman of Vertex, one of the world’s largest pharmaceutical companies.</w:t>
      </w:r>
    </w:p>
    <w:p>
      <w:pPr>
        <w:spacing w:after="0" w:line="44"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Prior to founding our company in 2021, Dr. Glick was the founder and Chief Executive Officer of Scorpion where he led the initiation and early discovery of several programs, including STX-478, a mutant-selective PI3K inhibitor. In early 2025, it was announced that Eli Lilly and Company had entered into a definitive agreement to acquire Scorpion for up to $2.5 billion in cash. Before Scorpion, Dr. Glick was the founder and Chief Executive Officer of IFM Therapeutics, a company that was the first to target the NLRP3 inflammasome and STING. At IFM, Dr. Glick completed three sales of drug development programs, generating proceeds to date of $ 750 million. Subject to the achievement of various milestones, proceeds from those sales could reach more than $4.7 billion. Earlier in his career, Dr. Glick founded Lycera based on his academic research, where he also served as Chief Scientific Officer. During his tenure, Lycera successfully completed more than $600 million of program partnering transactions.</w:t>
      </w:r>
    </w:p>
    <w:p>
      <w:pPr>
        <w:spacing w:after="0" w:line="57" w:lineRule="exact"/>
        <w:rPr>
          <w:sz w:val="20"/>
          <w:szCs w:val="20"/>
          <w:color w:val="auto"/>
        </w:rPr>
      </w:pPr>
    </w:p>
    <w:p>
      <w:pPr>
        <w:ind w:left="640" w:right="699" w:firstLine="443"/>
        <w:spacing w:after="0" w:line="225" w:lineRule="auto"/>
        <w:rPr>
          <w:sz w:val="20"/>
          <w:szCs w:val="20"/>
          <w:color w:val="auto"/>
        </w:rPr>
      </w:pPr>
      <w:r>
        <w:rPr>
          <w:rFonts w:ascii="Arial" w:cs="Arial" w:eastAsia="Arial" w:hAnsi="Arial"/>
          <w:sz w:val="14"/>
          <w:szCs w:val="14"/>
          <w:color w:val="auto"/>
        </w:rPr>
        <w:t>Dr. Leiden served as Chief Executive Officer of Vertex for eight years, during which time Vertex delivered multiple approved medicines to treat the underlying cause of cystic fibrosis for patients with certain forms of the disease, including KALYDECO</w:t>
      </w:r>
      <w:r>
        <w:rPr>
          <w:rFonts w:ascii="Arial" w:cs="Arial" w:eastAsia="Arial" w:hAnsi="Arial"/>
          <w:sz w:val="19"/>
          <w:szCs w:val="19"/>
          <w:color w:val="auto"/>
          <w:vertAlign w:val="superscript"/>
        </w:rPr>
        <w:t>®</w:t>
      </w:r>
      <w:r>
        <w:rPr>
          <w:rFonts w:ascii="Arial" w:cs="Arial" w:eastAsia="Arial" w:hAnsi="Arial"/>
          <w:sz w:val="14"/>
          <w:szCs w:val="14"/>
          <w:color w:val="auto"/>
        </w:rPr>
        <w:t>, ORKAMBI</w:t>
      </w:r>
      <w:r>
        <w:rPr>
          <w:rFonts w:ascii="Arial" w:cs="Arial" w:eastAsia="Arial" w:hAnsi="Arial"/>
          <w:sz w:val="19"/>
          <w:szCs w:val="19"/>
          <w:color w:val="auto"/>
          <w:vertAlign w:val="superscript"/>
        </w:rPr>
        <w:t>®</w:t>
      </w:r>
      <w:r>
        <w:rPr>
          <w:rFonts w:ascii="Arial" w:cs="Arial" w:eastAsia="Arial" w:hAnsi="Arial"/>
          <w:sz w:val="14"/>
          <w:szCs w:val="14"/>
          <w:color w:val="auto"/>
        </w:rPr>
        <w:t>, and TRIKAFTA</w:t>
      </w:r>
      <w:r>
        <w:rPr>
          <w:rFonts w:ascii="Arial" w:cs="Arial" w:eastAsia="Arial" w:hAnsi="Arial"/>
          <w:sz w:val="19"/>
          <w:szCs w:val="19"/>
          <w:color w:val="auto"/>
          <w:vertAlign w:val="superscript"/>
        </w:rPr>
        <w:t>®</w:t>
      </w:r>
      <w:r>
        <w:rPr>
          <w:rFonts w:ascii="Arial" w:cs="Arial" w:eastAsia="Arial" w:hAnsi="Arial"/>
          <w:sz w:val="14"/>
          <w:szCs w:val="14"/>
          <w:color w:val="auto"/>
        </w:rPr>
        <w:t>. Prior to Vertex, Dr. Leiden was President, Chief Operating Officer, and Chief Scientific Officer of Abbott Laboratories, Pharmaceutical Products Group, where he led the development and commercialization of HUMIRA</w:t>
      </w:r>
      <w:r>
        <w:rPr>
          <w:rFonts w:ascii="Arial" w:cs="Arial" w:eastAsia="Arial" w:hAnsi="Arial"/>
          <w:sz w:val="19"/>
          <w:szCs w:val="19"/>
          <w:color w:val="auto"/>
          <w:vertAlign w:val="superscript"/>
        </w:rPr>
        <w:t>®</w:t>
      </w:r>
      <w:r>
        <w:rPr>
          <w:rFonts w:ascii="Arial" w:cs="Arial" w:eastAsia="Arial" w:hAnsi="Arial"/>
          <w:sz w:val="14"/>
          <w:szCs w:val="14"/>
          <w:color w:val="auto"/>
        </w:rPr>
        <w:t>, a drug approved for nine indications with over $ 200 billion in lifetime sales. Dr. Leiden is actively involved in all aspects of our business, including our preclinical, clinical, and business development activities.</w:t>
      </w:r>
    </w:p>
    <w:p>
      <w:pPr>
        <w:spacing w:after="0" w:line="61" w:lineRule="exact"/>
        <w:rPr>
          <w:sz w:val="20"/>
          <w:szCs w:val="20"/>
          <w:color w:val="auto"/>
        </w:rPr>
      </w:pPr>
    </w:p>
    <w:p>
      <w:pPr>
        <w:ind w:left="640" w:right="779" w:firstLine="443"/>
        <w:spacing w:after="0" w:line="247" w:lineRule="auto"/>
        <w:rPr>
          <w:sz w:val="20"/>
          <w:szCs w:val="20"/>
          <w:color w:val="auto"/>
        </w:rPr>
      </w:pPr>
      <w:r>
        <w:rPr>
          <w:rFonts w:ascii="Arial" w:cs="Arial" w:eastAsia="Arial" w:hAnsi="Arial"/>
          <w:sz w:val="14"/>
          <w:szCs w:val="14"/>
          <w:color w:val="auto"/>
        </w:rPr>
        <w:t>Drs. Glick and Leiden lead our team of experienced drug hunters and developers with deep experience in identifying, developing, and commercializing medicines across indications and drug types. Members of our management team have served in senior positions at Merck &amp; Co., Inc., Sanofi S.A., Pfizer Inc., C4 Therapeutics, Inc., SpringWorks Therapeutics, Inc., IFM Therapeutics, Novartis AG, and Bristol-Myers Squibb Company.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and Vertex.</w:t>
      </w:r>
    </w:p>
    <w:p>
      <w:pPr>
        <w:spacing w:after="0" w:line="54" w:lineRule="exact"/>
        <w:rPr>
          <w:sz w:val="20"/>
          <w:szCs w:val="20"/>
          <w:color w:val="auto"/>
        </w:rPr>
      </w:pPr>
    </w:p>
    <w:p>
      <w:pPr>
        <w:ind w:left="640" w:right="739" w:firstLine="443"/>
        <w:spacing w:after="0" w:line="254" w:lineRule="auto"/>
        <w:rPr>
          <w:sz w:val="20"/>
          <w:szCs w:val="20"/>
          <w:color w:val="auto"/>
        </w:rPr>
      </w:pPr>
      <w:r>
        <w:rPr>
          <w:rFonts w:ascii="Arial" w:cs="Arial" w:eastAsia="Arial" w:hAnsi="Arial"/>
          <w:sz w:val="14"/>
          <w:szCs w:val="14"/>
          <w:color w:val="auto"/>
        </w:rPr>
        <w:t>Our management and board of directors are complemented by scientific co-founders and a scientific advisory board composed of preeminent immunology researchers, including multiple investigators at the Howard Hughes Medical Institute and leading experts globally who have conducted foundational research to identify and characterize a number of our therapeutic targets, including RIPK2 and SLC15A4.</w:t>
      </w:r>
    </w:p>
    <w:p>
      <w:pPr>
        <w:spacing w:after="0" w:line="49" w:lineRule="exact"/>
        <w:rPr>
          <w:sz w:val="20"/>
          <w:szCs w:val="20"/>
          <w:color w:val="auto"/>
        </w:rPr>
      </w:pPr>
    </w:p>
    <w:p>
      <w:pPr>
        <w:ind w:left="640" w:right="1039" w:firstLine="443"/>
        <w:spacing w:after="0" w:line="261" w:lineRule="auto"/>
        <w:rPr>
          <w:sz w:val="20"/>
          <w:szCs w:val="20"/>
          <w:color w:val="auto"/>
        </w:rPr>
      </w:pPr>
      <w:r>
        <w:rPr>
          <w:rFonts w:ascii="Arial" w:cs="Arial" w:eastAsia="Arial" w:hAnsi="Arial"/>
          <w:sz w:val="14"/>
          <w:szCs w:val="14"/>
          <w:color w:val="auto"/>
        </w:rPr>
        <w:t>Since our inception in 2021, we have raised an aggregate of approximately $726.0 million from a collection of leading investors, mutual funds, and global family offices. Our investor syndicate includes over 30 venture capital investors, mutual funds, long-only funds, global family offices, and corporate venture funds.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Our Approach to Immunology</w:t>
      </w:r>
    </w:p>
    <w:p>
      <w:pPr>
        <w:spacing w:after="0" w:line="86" w:lineRule="exact"/>
        <w:rPr>
          <w:sz w:val="20"/>
          <w:szCs w:val="20"/>
          <w:color w:val="auto"/>
        </w:rPr>
      </w:pPr>
    </w:p>
    <w:p>
      <w:pPr>
        <w:ind w:left="640" w:right="699" w:firstLine="443"/>
        <w:spacing w:after="0" w:line="246" w:lineRule="auto"/>
        <w:rPr>
          <w:sz w:val="20"/>
          <w:szCs w:val="20"/>
          <w:color w:val="auto"/>
        </w:rPr>
      </w:pPr>
      <w:r>
        <w:rPr>
          <w:rFonts w:ascii="Arial" w:cs="Arial" w:eastAsia="Arial" w:hAnsi="Arial"/>
          <w:sz w:val="14"/>
          <w:szCs w:val="14"/>
          <w:color w:val="auto"/>
        </w:rPr>
        <w:t xml:space="preserve">The human immune system is a complex network of cells, tissues, and organs that can be divided into two primary components: the innate immune system and adaptive immune system. The innate immune system, which forms the body’s first line of defense, is a cellular network with highly selective receptors and activators that responds to pathogenic stimuli, both directly and by producing proinflammatory cytokines that activate the secondary line of defense: the adaptive immune system. The adaptive immune system helps eliminate pathogens and retains a memory of them for a more effective immune response to previously encountered pathogens. While these responses are necessary for normal homeostatic function and host defense, </w:t>
      </w:r>
      <w:r>
        <w:rPr>
          <w:rFonts w:ascii="Arial" w:cs="Arial" w:eastAsia="Arial" w:hAnsi="Arial"/>
          <w:sz w:val="14"/>
          <w:szCs w:val="14"/>
          <w:i w:val="1"/>
          <w:iCs w:val="1"/>
          <w:color w:val="auto"/>
        </w:rPr>
        <w:t>chronic</w:t>
      </w:r>
      <w:r>
        <w:rPr>
          <w:rFonts w:ascii="Arial" w:cs="Arial" w:eastAsia="Arial" w:hAnsi="Arial"/>
          <w:sz w:val="14"/>
          <w:szCs w:val="14"/>
          <w:color w:val="auto"/>
        </w:rPr>
        <w:t xml:space="preserve"> proinflammatory signaling that remains unresolved propagates inflammatory disease and organ damage, as shown below.</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467360</wp:posOffset>
            </wp:positionV>
            <wp:extent cx="4302760" cy="1752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02760" cy="175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right="759" w:firstLine="443"/>
        <w:spacing w:after="0" w:line="243" w:lineRule="auto"/>
        <w:rPr>
          <w:sz w:val="20"/>
          <w:szCs w:val="20"/>
          <w:color w:val="auto"/>
        </w:rPr>
      </w:pPr>
      <w:r>
        <w:rPr>
          <w:rFonts w:ascii="Arial" w:cs="Arial" w:eastAsia="Arial" w:hAnsi="Arial"/>
          <w:sz w:val="14"/>
          <w:szCs w:val="14"/>
          <w:color w:val="auto"/>
        </w:rPr>
        <w:t>Current therapies for inflammatory diseases are largely focused on the downstream adaptive immune response— specifically, the inhibition of cytokines—and have produced meaningful benefits for patients, but share fundamental limitations despite targeting different cytokines. Because cytokines have redundant function, blocking any one downstream cytokine does not prevent others from activating the adaptive immune response. Cytokines have many functions and therefore inhibiting a cytokine relevant in disease also negatively impacts normal homeostasis and is typically associated with immunosuppression. Therapeutic approaches that block multiple cytokines have the potential to increase susceptibility to life-threatening infection. In addition, cytokine inhibition does not address parts of the innate immune response, such as recruitment and activation of neutrophils or macrophages, which themselves can damage tissue independent of the adaptive immune response. Therefore, we believe existing therapeutics will continue to be challenging to combine safely into additive or synergistic multidrug regimens and leave disease mechanisms unaddressed. By targeting innate immune responses or upstream signaling nodes as shown in the graphic below, our product candidates have the potential, whether as monotherapies or in combination, to address the issue of downstream cytokine redundancy while having less immunosuppressive risk.</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Mechanisms of Action for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132080</wp:posOffset>
            </wp:positionV>
            <wp:extent cx="3177540" cy="2830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7754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right="799" w:firstLine="443"/>
        <w:spacing w:after="0" w:line="248" w:lineRule="auto"/>
        <w:rPr>
          <w:sz w:val="20"/>
          <w:szCs w:val="20"/>
          <w:color w:val="auto"/>
        </w:rPr>
      </w:pPr>
      <w:r>
        <w:rPr>
          <w:rFonts w:ascii="Arial" w:cs="Arial" w:eastAsia="Arial" w:hAnsi="Arial"/>
          <w:sz w:val="14"/>
          <w:szCs w:val="14"/>
          <w:color w:val="auto"/>
        </w:rPr>
        <w:t>We believe our portfolio of product candidates aimed at known and novel targets in the immune system can produce major treatment advances for patients by expanding the aperture of how inflammatory diseases can be treated. Our strategy is focused on modulating the root of inflammatory dysregulation through highly selective targeting of key nodes in the immune system. Through this approach, we believe we can provide new monotherapy treatments for patients and physicians and enable tolerable combination options to further improve the breadth, depth, and durability of patient responses.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Our Approach to Therapeutic Development</w:t>
      </w:r>
    </w:p>
    <w:p>
      <w:pPr>
        <w:spacing w:after="0" w:line="86" w:lineRule="exact"/>
        <w:rPr>
          <w:sz w:val="20"/>
          <w:szCs w:val="20"/>
          <w:color w:val="auto"/>
        </w:rPr>
      </w:pPr>
    </w:p>
    <w:p>
      <w:pPr>
        <w:ind w:left="640" w:right="1239" w:firstLine="443"/>
        <w:spacing w:after="0" w:line="282" w:lineRule="auto"/>
        <w:rPr>
          <w:sz w:val="20"/>
          <w:szCs w:val="20"/>
          <w:color w:val="auto"/>
        </w:rPr>
      </w:pPr>
      <w:r>
        <w:rPr>
          <w:rFonts w:ascii="Arial" w:cs="Arial" w:eastAsia="Arial" w:hAnsi="Arial"/>
          <w:sz w:val="14"/>
          <w:szCs w:val="14"/>
          <w:color w:val="auto"/>
        </w:rPr>
        <w:t>Drug discovery and development at Odyssey is run by a team of experts who collectively have decades of experience across biotechnology and pharmaceutical companies.</w:t>
      </w:r>
    </w:p>
    <w:p>
      <w:pPr>
        <w:spacing w:after="0" w:line="30" w:lineRule="exact"/>
        <w:rPr>
          <w:sz w:val="20"/>
          <w:szCs w:val="20"/>
          <w:color w:val="auto"/>
        </w:rPr>
      </w:pPr>
    </w:p>
    <w:p>
      <w:pPr>
        <w:ind w:left="640" w:right="739" w:firstLine="443"/>
        <w:spacing w:after="0" w:line="261" w:lineRule="auto"/>
        <w:rPr>
          <w:sz w:val="20"/>
          <w:szCs w:val="20"/>
          <w:color w:val="auto"/>
        </w:rPr>
      </w:pPr>
      <w:r>
        <w:rPr>
          <w:rFonts w:ascii="Arial" w:cs="Arial" w:eastAsia="Arial" w:hAnsi="Arial"/>
          <w:sz w:val="14"/>
          <w:szCs w:val="14"/>
          <w:color w:val="auto"/>
        </w:rPr>
        <w:t>We first seek to identify targets that address patient populations with significant unmet need within immunology. In considering targets, we prefer those where the biology is well characterized and where clinical or translational evidence can be combined with human genetics to inform potential safety and efficacy.</w:t>
      </w:r>
    </w:p>
    <w:p>
      <w:pPr>
        <w:spacing w:after="0" w:line="44" w:lineRule="exact"/>
        <w:rPr>
          <w:sz w:val="20"/>
          <w:szCs w:val="20"/>
          <w:color w:val="auto"/>
        </w:rPr>
      </w:pPr>
    </w:p>
    <w:p>
      <w:pPr>
        <w:ind w:left="640" w:right="1339" w:firstLine="443"/>
        <w:spacing w:after="0" w:line="282" w:lineRule="auto"/>
        <w:rPr>
          <w:sz w:val="20"/>
          <w:szCs w:val="20"/>
          <w:color w:val="auto"/>
        </w:rPr>
      </w:pPr>
      <w:r>
        <w:rPr>
          <w:rFonts w:ascii="Arial" w:cs="Arial" w:eastAsia="Arial" w:hAnsi="Arial"/>
          <w:sz w:val="14"/>
          <w:szCs w:val="14"/>
          <w:color w:val="auto"/>
        </w:rPr>
        <w:t>After identifying a potential therapeutic target and a patient population with unmet need, we focus on five questions:</w:t>
      </w:r>
    </w:p>
    <w:p>
      <w:pPr>
        <w:spacing w:after="0" w:line="30" w:lineRule="exact"/>
        <w:rPr>
          <w:sz w:val="20"/>
          <w:szCs w:val="20"/>
          <w:color w:val="auto"/>
        </w:rPr>
      </w:pPr>
    </w:p>
    <w:p>
      <w:pPr>
        <w:ind w:left="1440" w:hanging="359"/>
        <w:spacing w:after="0"/>
        <w:tabs>
          <w:tab w:leader="none" w:pos="1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What specific problem(s) are we seeking to address?</w:t>
      </w:r>
    </w:p>
    <w:p>
      <w:pPr>
        <w:spacing w:after="0" w:line="86" w:lineRule="exact"/>
        <w:rPr>
          <w:rFonts w:ascii="Arial" w:cs="Arial" w:eastAsia="Arial" w:hAnsi="Arial"/>
          <w:sz w:val="14"/>
          <w:szCs w:val="14"/>
          <w:color w:val="auto"/>
        </w:rPr>
      </w:pPr>
    </w:p>
    <w:p>
      <w:pPr>
        <w:ind w:left="1440" w:hanging="359"/>
        <w:spacing w:after="0"/>
        <w:tabs>
          <w:tab w:leader="none" w:pos="1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 there an opportunity to make significant advances over standard of care?</w:t>
      </w:r>
    </w:p>
    <w:p>
      <w:pPr>
        <w:spacing w:after="0" w:line="86" w:lineRule="exact"/>
        <w:rPr>
          <w:rFonts w:ascii="Arial" w:cs="Arial" w:eastAsia="Arial" w:hAnsi="Arial"/>
          <w:sz w:val="14"/>
          <w:szCs w:val="14"/>
          <w:color w:val="auto"/>
        </w:rPr>
      </w:pPr>
    </w:p>
    <w:p>
      <w:pPr>
        <w:ind w:left="1440" w:right="979" w:hanging="359"/>
        <w:spacing w:after="0" w:line="282" w:lineRule="auto"/>
        <w:tabs>
          <w:tab w:leader="none" w:pos="1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 the patient population sufficiently large to support a meaningful commercial opportunity in one or more indications?</w:t>
      </w:r>
    </w:p>
    <w:p>
      <w:pPr>
        <w:spacing w:after="0" w:line="29" w:lineRule="exact"/>
        <w:rPr>
          <w:rFonts w:ascii="Arial" w:cs="Arial" w:eastAsia="Arial" w:hAnsi="Arial"/>
          <w:sz w:val="14"/>
          <w:szCs w:val="14"/>
          <w:color w:val="auto"/>
        </w:rPr>
      </w:pPr>
    </w:p>
    <w:p>
      <w:pPr>
        <w:ind w:left="1440" w:right="659" w:hanging="359"/>
        <w:spacing w:after="0" w:line="282" w:lineRule="auto"/>
        <w:tabs>
          <w:tab w:leader="none" w:pos="1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Can the drug candidate make a timely entry to the market (e.g., as one of the first two entrants for a particular mechanism)?</w:t>
      </w:r>
    </w:p>
    <w:p>
      <w:pPr>
        <w:spacing w:after="0" w:line="29" w:lineRule="exact"/>
        <w:rPr>
          <w:rFonts w:ascii="Arial" w:cs="Arial" w:eastAsia="Arial" w:hAnsi="Arial"/>
          <w:sz w:val="14"/>
          <w:szCs w:val="14"/>
          <w:color w:val="auto"/>
        </w:rPr>
      </w:pPr>
    </w:p>
    <w:p>
      <w:pPr>
        <w:ind w:left="1440" w:hanging="359"/>
        <w:spacing w:after="0"/>
        <w:tabs>
          <w:tab w:leader="none" w:pos="1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Will any given target have potential additivity or synergy with other drug candidates in our portfolio?</w:t>
      </w:r>
    </w:p>
    <w:p>
      <w:pPr>
        <w:spacing w:after="0" w:line="86" w:lineRule="exact"/>
        <w:rPr>
          <w:sz w:val="20"/>
          <w:szCs w:val="20"/>
          <w:color w:val="auto"/>
        </w:rPr>
      </w:pPr>
    </w:p>
    <w:p>
      <w:pPr>
        <w:ind w:left="640" w:right="719" w:firstLine="443"/>
        <w:spacing w:after="0" w:line="282" w:lineRule="auto"/>
        <w:rPr>
          <w:sz w:val="20"/>
          <w:szCs w:val="20"/>
          <w:color w:val="auto"/>
        </w:rPr>
      </w:pPr>
      <w:r>
        <w:rPr>
          <w:rFonts w:ascii="Arial" w:cs="Arial" w:eastAsia="Arial" w:hAnsi="Arial"/>
          <w:sz w:val="14"/>
          <w:szCs w:val="14"/>
          <w:color w:val="auto"/>
        </w:rPr>
        <w:t>We strive to have conviction on these questions when we initiate a program and continually revisit these questions as programs advance.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3" w:name="page104"/>
    <w:bookmarkEnd w:id="10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firstLine="443"/>
        <w:spacing w:after="0" w:line="250" w:lineRule="auto"/>
        <w:rPr>
          <w:sz w:val="20"/>
          <w:szCs w:val="20"/>
          <w:color w:val="auto"/>
        </w:rPr>
      </w:pPr>
      <w:r>
        <w:rPr>
          <w:rFonts w:ascii="Arial" w:cs="Arial" w:eastAsia="Arial" w:hAnsi="Arial"/>
          <w:sz w:val="14"/>
          <w:szCs w:val="14"/>
          <w:color w:val="auto"/>
        </w:rPr>
        <w:t>We then filter targets using a number of considerations, including the clinical development path time and investment to achieve value inflection. For example, we evaluate whether there is a definable patient population that can provide unambiguous proof-of-concept or the potential to demonstrate proof-of-mechanism in healthy participant studies. In addition, we consider whether there is a patient selection or biomarker strategy in key indications that can improve probability of success.</w:t>
      </w:r>
    </w:p>
    <w:p>
      <w:pPr>
        <w:spacing w:after="0" w:line="53"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Following target selection, we leverage internal capabilities to determine which modality—small molecule or protein therapeutic—is optimal for effectively drugging the core biology we aim to address. We believe that our approach has the potential to develop medicines targeting diseases across the estimated $100 billion inflammatory disease market. Our estimate of the size of the inflammatory disease market is based on third-party research, such as the article titled “</w:t>
      </w:r>
      <w:r>
        <w:rPr>
          <w:rFonts w:ascii="Arial" w:cs="Arial" w:eastAsia="Arial" w:hAnsi="Arial"/>
          <w:sz w:val="14"/>
          <w:szCs w:val="14"/>
          <w:i w:val="1"/>
          <w:iCs w:val="1"/>
          <w:color w:val="auto"/>
        </w:rPr>
        <w:t>Drug</w:t>
      </w:r>
      <w:r>
        <w:rPr>
          <w:rFonts w:ascii="Arial" w:cs="Arial" w:eastAsia="Arial" w:hAnsi="Arial"/>
          <w:sz w:val="14"/>
          <w:szCs w:val="14"/>
          <w:color w:val="auto"/>
        </w:rPr>
        <w:t xml:space="preserve"> </w:t>
      </w:r>
      <w:r>
        <w:rPr>
          <w:rFonts w:ascii="Arial" w:cs="Arial" w:eastAsia="Arial" w:hAnsi="Arial"/>
          <w:sz w:val="14"/>
          <w:szCs w:val="14"/>
          <w:i w:val="1"/>
          <w:iCs w:val="1"/>
          <w:color w:val="auto"/>
        </w:rPr>
        <w:t>Sales to Reach $1.9 Trillion Within 5 Years?</w:t>
      </w:r>
      <w:r>
        <w:rPr>
          <w:rFonts w:ascii="Arial" w:cs="Arial" w:eastAsia="Arial" w:hAnsi="Arial"/>
          <w:sz w:val="14"/>
          <w:szCs w:val="14"/>
          <w:color w:val="auto"/>
        </w:rPr>
        <w:t>” published in Volume 22, Issue 3 of Nature Reviews Drug Discovery, which</w:t>
      </w:r>
      <w:r>
        <w:rPr>
          <w:rFonts w:ascii="Arial" w:cs="Arial" w:eastAsia="Arial" w:hAnsi="Arial"/>
          <w:sz w:val="14"/>
          <w:szCs w:val="14"/>
          <w:i w:val="1"/>
          <w:iCs w:val="1"/>
          <w:color w:val="auto"/>
        </w:rPr>
        <w:t xml:space="preserve"> </w:t>
      </w:r>
      <w:r>
        <w:rPr>
          <w:rFonts w:ascii="Arial" w:cs="Arial" w:eastAsia="Arial" w:hAnsi="Arial"/>
          <w:sz w:val="14"/>
          <w:szCs w:val="14"/>
          <w:color w:val="auto"/>
        </w:rPr>
        <w:t>has valued the inflammatory disease market in excess of $100 billion based on current approved therapies. Given our focus on what we believe to be the root of inflammatory dysregulation, we believe our approach could have applicability across this market.</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graphic below illustrates our target selection and preclinical and clinical process described above in greater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123190</wp:posOffset>
            </wp:positionV>
            <wp:extent cx="4814570" cy="23526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14570" cy="235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Small Molecules</w:t>
      </w:r>
    </w:p>
    <w:p>
      <w:pPr>
        <w:spacing w:after="0" w:line="86" w:lineRule="exact"/>
        <w:rPr>
          <w:sz w:val="20"/>
          <w:szCs w:val="20"/>
          <w:color w:val="auto"/>
        </w:rPr>
      </w:pPr>
    </w:p>
    <w:p>
      <w:pPr>
        <w:ind w:left="640" w:right="719" w:firstLine="443"/>
        <w:spacing w:after="0" w:line="251" w:lineRule="auto"/>
        <w:rPr>
          <w:sz w:val="20"/>
          <w:szCs w:val="20"/>
          <w:color w:val="auto"/>
        </w:rPr>
      </w:pPr>
      <w:r>
        <w:rPr>
          <w:rFonts w:ascii="Arial" w:cs="Arial" w:eastAsia="Arial" w:hAnsi="Arial"/>
          <w:sz w:val="14"/>
          <w:szCs w:val="14"/>
          <w:color w:val="auto"/>
        </w:rPr>
        <w:t>Small molecules are preferred to address intracellular targets or provide an oral option where that administration route will be important for prescribers and patients. We have internal expertise that enables us to pursue a number of small-molecule mechanisms, including traditional inhibitors, protein-protein inhibitors, molecular glues, and protein degraders. To support our discovery and development, we have invested in a suite of tools and capabilities, including our AI/ML platform.</w:t>
      </w:r>
    </w:p>
    <w:p>
      <w:pPr>
        <w:spacing w:after="0" w:line="218" w:lineRule="exact"/>
        <w:rPr>
          <w:sz w:val="20"/>
          <w:szCs w:val="20"/>
          <w:color w:val="auto"/>
        </w:rPr>
      </w:pPr>
    </w:p>
    <w:p>
      <w:pPr>
        <w:ind w:left="640" w:right="839" w:firstLine="443"/>
        <w:spacing w:after="0" w:line="248" w:lineRule="auto"/>
        <w:rPr>
          <w:sz w:val="20"/>
          <w:szCs w:val="20"/>
          <w:color w:val="auto"/>
        </w:rPr>
      </w:pPr>
      <w:r>
        <w:rPr>
          <w:rFonts w:ascii="Arial" w:cs="Arial" w:eastAsia="Arial" w:hAnsi="Arial"/>
          <w:sz w:val="14"/>
          <w:szCs w:val="14"/>
          <w:color w:val="auto"/>
        </w:rPr>
        <w:t>Our AI/ML platform is designed to support small-molecule drug discovery from program initiation through identification of a development candidate in silico. Specifically, leveraging our platform can (1) help to elucidate cryptic pockets through novel techniques pioneered by our employees, (2) enable us to use virtual screening and generative chemistry to identify and optimize hits, and (3) when used alongside traditional medicinal chemistry efforts, enable us to efficiently progress our programs. Our ability to leverage this technology has been instrumental in the discovery and development of some of our product candidates.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Protein Therapeutics</w:t>
      </w:r>
    </w:p>
    <w:p>
      <w:pPr>
        <w:spacing w:after="0" w:line="86" w:lineRule="exact"/>
        <w:rPr>
          <w:sz w:val="20"/>
          <w:szCs w:val="20"/>
          <w:color w:val="auto"/>
        </w:rPr>
      </w:pPr>
    </w:p>
    <w:p>
      <w:pPr>
        <w:ind w:left="640" w:right="739" w:firstLine="443"/>
        <w:spacing w:after="0" w:line="261" w:lineRule="auto"/>
        <w:rPr>
          <w:sz w:val="20"/>
          <w:szCs w:val="20"/>
          <w:color w:val="auto"/>
        </w:rPr>
      </w:pPr>
      <w:r>
        <w:rPr>
          <w:rFonts w:ascii="Arial" w:cs="Arial" w:eastAsia="Arial" w:hAnsi="Arial"/>
          <w:sz w:val="14"/>
          <w:szCs w:val="14"/>
          <w:color w:val="auto"/>
        </w:rPr>
        <w:t>We believe that protein therapeutics are ideal for extracellular targets, particularly where multiple targets or receptors must be engaged for desired pharmacology. Within the protein therapeutic class, there are numerous formats that have been used in approved drugs, including monoclonal antibodies or their fragments, or Fab, bispecific antibodies,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4" w:name="page105"/>
    <w:bookmarkEnd w:id="10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45" w:lineRule="auto"/>
        <w:rPr>
          <w:sz w:val="20"/>
          <w:szCs w:val="20"/>
          <w:color w:val="auto"/>
        </w:rPr>
      </w:pPr>
      <w:r>
        <w:rPr>
          <w:rFonts w:ascii="Arial" w:cs="Arial" w:eastAsia="Arial" w:hAnsi="Arial"/>
          <w:sz w:val="14"/>
          <w:szCs w:val="14"/>
          <w:color w:val="auto"/>
        </w:rPr>
        <w:t>fusion proteins, and VHH-based single-domain antibodies and derivatives thereof, which we collectively refer to as VHH or V-bodies. We believe VHH provide a superior platform for the development of next-generation protein therapeutics compared to conventional antibodies and fusion proteins because of their lower molecular weight, modularity, ease of engineering and manufacturing, and developability characteristics—such as higher melting temperatures that are correlated with improved stability, which can simplify storage and transportation. In addition, VHH are typically more soluble than monoclonal antibodies, which can enable high-concentration formulations for subcutaneous dosing— preferred by patients and payors—compared to intravenous delivery. Like our small-molecule research, we employ AI and ML models in developing our protein therapeutics. These models enable us to identify favorable combinations of VHH and help guide optimization of affinity, stability, and developability.</w:t>
      </w:r>
    </w:p>
    <w:p>
      <w:pPr>
        <w:spacing w:after="0" w:line="57"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The use of individual VHH domains and the ability to modify the number and relative arrangement of such domains has the potential to allow us to create versatile molecules that can be combined to recognize distinct features of a particular target or multiple distinct targets. Combining multiple targeting molecules could enable us to create biparatopic antibodies, which use multiple binders on the same target to increase potency or receptor clustering, or create multispecific V-bodies that recognize multiple receptor targets (e.g., bispecific or trispecific) to improve potency and cell type selectivity, or induce novel cell-cell interactions. We believe the VHH platform also offers the flexibility to enable the inclusion of other technologies, such as half-life extension, use of multiple formats (e.g., fragment crystallizable, or Fc, - based or linear), and the creation of non-antibody-like geometric arrangements of binding domains, including variable interdomain linker length to modulate spacing between binding elements, which can optimize binding potency, selectivity, and PK properties.</w:t>
      </w:r>
    </w:p>
    <w:p>
      <w:pPr>
        <w:spacing w:after="0" w:line="224" w:lineRule="exact"/>
        <w:rPr>
          <w:sz w:val="20"/>
          <w:szCs w:val="20"/>
          <w:color w:val="auto"/>
        </w:rPr>
      </w:pPr>
    </w:p>
    <w:p>
      <w:pPr>
        <w:ind w:left="640" w:right="739" w:firstLine="443"/>
        <w:spacing w:after="0" w:line="246" w:lineRule="auto"/>
        <w:rPr>
          <w:sz w:val="20"/>
          <w:szCs w:val="20"/>
          <w:color w:val="auto"/>
        </w:rPr>
      </w:pPr>
      <w:r>
        <w:rPr>
          <w:rFonts w:ascii="Arial" w:cs="Arial" w:eastAsia="Arial" w:hAnsi="Arial"/>
          <w:sz w:val="14"/>
          <w:szCs w:val="14"/>
          <w:color w:val="auto"/>
        </w:rPr>
        <w:t>Our expertise and investment in protein production, purification, and reconstitution enables us to take a structure-guided approach across our entire portfolio of small molecules and protein therapeutics, and provides an opportunity to address historically challenging targets such as transcription factors. Transcription factors are difficult drug targets due to their inherent flexibility and poor behavior in the absence of stabilizing co-factors. Our team consists of scientists who have conducted and published leading research in the field of reconstituting functional transcription factor complexes for biochemical and structural characterization. We believe we can use structure-guided hit finding in such reconstitution processes and direct biochemical assessments to characterize hits instead of relying on downstream, indirect phenotypic readouts that are poorly translatable to target-directed drug discovery.</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Our Product Candidates</w:t>
      </w:r>
    </w:p>
    <w:p>
      <w:pPr>
        <w:spacing w:after="0" w:line="86"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Our portfolio consists of two disclosed wholly owned immunology programs and one partnered immunology program, with additional undisclosed preclinical programs, that include both small molecules and protein therapeutics. We believe that considering two modalities provides us with a better ability to select the right modality to most effectively treat the core biology problem we are aiming to address, and each of our modalities has well -prescribed development and regulatory pathways. For our lead programs, we have prioritized targets that we believe are of high interest to pharmaceutical companies to provide partnering flexibility, and for which we believe the disease biology is relatively well understood through the availability and use of genetic, clinical, or translational information.</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RIPK2</w:t>
      </w:r>
    </w:p>
    <w:p>
      <w:pPr>
        <w:spacing w:after="0" w:line="84" w:lineRule="exact"/>
        <w:rPr>
          <w:sz w:val="20"/>
          <w:szCs w:val="20"/>
          <w:color w:val="auto"/>
        </w:rPr>
      </w:pPr>
    </w:p>
    <w:p>
      <w:pPr>
        <w:ind w:left="640" w:right="799" w:firstLine="443"/>
        <w:spacing w:after="0" w:line="248" w:lineRule="auto"/>
        <w:rPr>
          <w:sz w:val="20"/>
          <w:szCs w:val="20"/>
          <w:color w:val="auto"/>
        </w:rPr>
      </w:pPr>
      <w:r>
        <w:rPr>
          <w:rFonts w:ascii="Arial" w:cs="Arial" w:eastAsia="Arial" w:hAnsi="Arial"/>
          <w:sz w:val="14"/>
          <w:szCs w:val="14"/>
          <w:color w:val="auto"/>
        </w:rPr>
        <w:t>OD-001 is an oral small-molecule RIPK2 scaffolding inhibitor product candidate in phase 2a development for the treatment of UC, one of the two main types of IBD. RIPK2 is a critical signaling protein of the innate immune system that responds to bacterial byproducts from the GI tract and has been implicated as an initiator of IBD and thought to mediate resistance to standard-of-care therapies, including TNF and integrin-blocking therapies. By addressing IBD at an upstream point in the immune response, we believe that OD-001, as either monotherapy or in combination with existing therapies, has the potential to break the current therapeutic ceiling in IBD.</w:t>
      </w:r>
    </w:p>
    <w:p>
      <w:pPr>
        <w:spacing w:after="0" w:line="54" w:lineRule="exact"/>
        <w:rPr>
          <w:sz w:val="20"/>
          <w:szCs w:val="20"/>
          <w:color w:val="auto"/>
        </w:rPr>
      </w:pPr>
    </w:p>
    <w:p>
      <w:pPr>
        <w:ind w:left="640" w:right="759" w:firstLine="443"/>
        <w:spacing w:after="0" w:line="226" w:lineRule="auto"/>
        <w:rPr>
          <w:sz w:val="20"/>
          <w:szCs w:val="20"/>
          <w:color w:val="auto"/>
        </w:rPr>
      </w:pPr>
      <w:r>
        <w:rPr>
          <w:rFonts w:ascii="Arial" w:cs="Arial" w:eastAsia="Arial" w:hAnsi="Arial"/>
          <w:sz w:val="14"/>
          <w:szCs w:val="14"/>
          <w:color w:val="auto"/>
        </w:rPr>
        <w:t>In the fourth quarter of 2024, we completed a phase 1 trial of OD-001 in healthy adult participants in Australia that demonstrated that OD-001 was well tolerated and provided sufficient exposure to achieve C</w:t>
      </w:r>
      <w:r>
        <w:rPr>
          <w:rFonts w:ascii="Arial" w:cs="Arial" w:eastAsia="Arial" w:hAnsi="Arial"/>
          <w:sz w:val="19"/>
          <w:szCs w:val="19"/>
          <w:color w:val="auto"/>
          <w:vertAlign w:val="subscript"/>
        </w:rPr>
        <w:t>ave</w:t>
      </w:r>
      <w:r>
        <w:rPr>
          <w:rFonts w:ascii="Arial" w:cs="Arial" w:eastAsia="Arial" w:hAnsi="Arial"/>
          <w:sz w:val="14"/>
          <w:szCs w:val="14"/>
          <w:color w:val="auto"/>
        </w:rPr>
        <w:t xml:space="preserve"> target coverage at or</w:t>
      </w:r>
    </w:p>
    <w:p>
      <w:pPr>
        <w:ind w:left="640"/>
        <w:spacing w:after="0" w:line="200" w:lineRule="auto"/>
        <w:rPr>
          <w:sz w:val="20"/>
          <w:szCs w:val="20"/>
          <w:color w:val="auto"/>
        </w:rPr>
      </w:pPr>
      <w:r>
        <w:rPr>
          <w:rFonts w:ascii="Arial" w:cs="Arial" w:eastAsia="Arial" w:hAnsi="Arial"/>
          <w:sz w:val="14"/>
          <w:szCs w:val="14"/>
          <w:color w:val="auto"/>
        </w:rPr>
        <w:t>above IC</w:t>
      </w:r>
      <w:r>
        <w:rPr>
          <w:rFonts w:ascii="Arial" w:cs="Arial" w:eastAsia="Arial" w:hAnsi="Arial"/>
          <w:sz w:val="19"/>
          <w:szCs w:val="19"/>
          <w:color w:val="auto"/>
          <w:vertAlign w:val="subscript"/>
        </w:rPr>
        <w:t>90</w:t>
      </w:r>
      <w:r>
        <w:rPr>
          <w:rFonts w:ascii="Arial" w:cs="Arial" w:eastAsia="Arial" w:hAnsi="Arial"/>
          <w:sz w:val="14"/>
          <w:szCs w:val="14"/>
          <w:color w:val="auto"/>
        </w:rPr>
        <w:t>. In May 2025, we initiated dosing in an open-label phase 2a trial assessing OD-001 as a monotherapy at two</w:t>
      </w:r>
    </w:p>
    <w:p>
      <w:pPr>
        <w:spacing w:after="0" w:line="1" w:lineRule="exact"/>
        <w:rPr>
          <w:sz w:val="20"/>
          <w:szCs w:val="20"/>
          <w:color w:val="auto"/>
        </w:rPr>
      </w:pPr>
    </w:p>
    <w:p>
      <w:pPr>
        <w:ind w:left="640" w:right="679"/>
        <w:spacing w:after="0" w:line="242" w:lineRule="auto"/>
        <w:rPr>
          <w:sz w:val="20"/>
          <w:szCs w:val="20"/>
          <w:color w:val="auto"/>
        </w:rPr>
      </w:pPr>
      <w:r>
        <w:rPr>
          <w:rFonts w:ascii="Arial" w:cs="Arial" w:eastAsia="Arial" w:hAnsi="Arial"/>
          <w:sz w:val="14"/>
          <w:szCs w:val="14"/>
          <w:color w:val="auto"/>
        </w:rPr>
        <w:t>dose levels in UC. We enrolled a total of 53 patients between part 1 (10 mg BID) and part 2 (20 mg BID) of the trial and the OD-001 treatment portion of part 1 and part 2 is completed. A total of 49 patients completed 12 weeks of treatment and were evaluable per protocol. We have observed patient benefit that is concordant across multiple disease-relevant endpoints in patients treated at both dose levels. In addition, both doses were well tolerated with no SAEs, and no discontinuations due to AEs. Based on the efficacy and tolerability observed, we expect to commence a randomized, double-blind phase 2a trial assessing OD-001 in combination with an integrin-blocking therapy, vedolizumab, compared to vedolizumab plus placebo in the second half of 2026, with topline combination induction results expected in the second half of 2027 and OD-001 only 52-week maintenance results in the second half of 2028. In addition, we expect to initiate a randomized, double-blind and placebo-controlled phase 2b trial assessing two dose levels of OD-001 as a monotherapy compared to placebo in the second half of 2026, with topline monotherapy induction results expected in the second half of</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5" w:name="page106"/>
    <w:bookmarkEnd w:id="10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39"/>
        <w:spacing w:after="0" w:line="282" w:lineRule="auto"/>
        <w:rPr>
          <w:sz w:val="20"/>
          <w:szCs w:val="20"/>
          <w:color w:val="auto"/>
        </w:rPr>
      </w:pPr>
      <w:r>
        <w:rPr>
          <w:rFonts w:ascii="Arial" w:cs="Arial" w:eastAsia="Arial" w:hAnsi="Arial"/>
          <w:sz w:val="14"/>
          <w:szCs w:val="14"/>
          <w:color w:val="auto"/>
        </w:rPr>
        <w:t>2027. We anticipate conducting our future trials for this program at sites both in the United States and across the rest of the world pending approval and clearance to proceed by the applicable regulatory authorities.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RIPK2 Function as a Signaling Node Mediates Inflammatory Bowel Disease</w:t>
      </w:r>
    </w:p>
    <w:p>
      <w:pPr>
        <w:spacing w:after="0" w:line="191"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The RIPK2 signaling pathway has been observed to have three primary effects on innate immune cells: (1) causing innate immune cells to produce proinflammatory cytokines, (2) amplifying production of cytokines induced by microbial stimuli other than peptidoglycan, or PGN, that activate innate immune cells, and (3) inducing an activated phenotype in innate immune cells, which, depending on the specific cell type, damages the surrounding normal tissue by killing intestinal epithelial cells and degrading the supporting extracellular structure. The cytokines directly induced or amplified by RIPK2, including TNF, TL1A, IL-23, interleukin 6, or IL-6, and interleukin 1, or IL-1, recruit and activate T cells to initiate an adaptive immune response that is not specific for bacteria, resulting in damage to intestinal epithelial cells.</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graphic below illustrates the role of RIPK2 in activating and amplifying immune response.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Role of RIPK2 in Innate Immune Activation and Adaptive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132080</wp:posOffset>
            </wp:positionV>
            <wp:extent cx="4909820" cy="2550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09820" cy="255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40" w:right="779" w:firstLine="443"/>
        <w:spacing w:after="0" w:line="248" w:lineRule="auto"/>
        <w:rPr>
          <w:sz w:val="20"/>
          <w:szCs w:val="20"/>
          <w:color w:val="auto"/>
        </w:rPr>
      </w:pPr>
      <w:r>
        <w:rPr>
          <w:rFonts w:ascii="Arial" w:cs="Arial" w:eastAsia="Arial" w:hAnsi="Arial"/>
          <w:sz w:val="14"/>
          <w:szCs w:val="14"/>
          <w:color w:val="auto"/>
        </w:rPr>
        <w:t>Toll-like receptors, or TLRs, are another family of receptor proteins found in innate immune cells that respond to bacteria products other than PGN (i.e., LTA, flagellin, and LPS). To show the role of RIPK2 in amplification of TLR signaling, we conducted a study in which we exposed human peripheral blood mononuclear cells, or PBMCs, to a fragment of the bacterial byproduct PGN or a TLR agonist separately or PGN and a TLR agonist combined. When the cells were exposed to both PGN and TLR, we observed an increase in proinflammatory TNF production by between four and 10 times when compared to PGN or TLR alone.</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6" w:name="page107"/>
    <w:bookmarkEnd w:id="10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640" w:right="679"/>
        <w:spacing w:after="0" w:line="291" w:lineRule="auto"/>
        <w:rPr>
          <w:sz w:val="20"/>
          <w:szCs w:val="20"/>
          <w:color w:val="auto"/>
        </w:rPr>
      </w:pPr>
      <w:r>
        <w:rPr>
          <w:rFonts w:ascii="Arial" w:cs="Arial" w:eastAsia="Arial" w:hAnsi="Arial"/>
          <w:sz w:val="14"/>
          <w:szCs w:val="14"/>
          <w:b w:val="1"/>
          <w:bCs w:val="1"/>
          <w:color w:val="auto"/>
        </w:rPr>
        <w:t>Observed Increase in Proinflammatory Cytokine Production by Human PBMCs When Exposed to Both PGN and TLR Agonists Over Either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88900</wp:posOffset>
            </wp:positionV>
            <wp:extent cx="3307715" cy="2086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7715" cy="208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640" w:right="679"/>
        <w:spacing w:after="0" w:line="250" w:lineRule="auto"/>
        <w:rPr>
          <w:sz w:val="20"/>
          <w:szCs w:val="20"/>
          <w:color w:val="auto"/>
        </w:rPr>
      </w:pPr>
      <w:r>
        <w:rPr>
          <w:rFonts w:ascii="Arial" w:cs="Arial" w:eastAsia="Arial" w:hAnsi="Arial"/>
          <w:sz w:val="14"/>
          <w:szCs w:val="14"/>
          <w:i w:val="1"/>
          <w:iCs w:val="1"/>
          <w:color w:val="auto"/>
        </w:rPr>
        <w:t>Human PBMCs were stimulated for 24 hours by PGN fragment L18-MDP, a NOD2 agonist, or flagellin, a TLR5 agonist. Data from a single representative donor shown above as mean ± standard deviation; three individual donors tested total. PGN + TLR agonist co-stimulation resulted in significantly higher TNF production as compared to PGN alone. Statistical significance was calculated in GraphPad Prism 10.2.3 using one-way ANOVA, **** = p &lt; 0.0001, and TLR agonist alone, **** = p &lt; 0.0001.</w:t>
      </w:r>
    </w:p>
    <w:p>
      <w:pPr>
        <w:spacing w:after="0" w:line="51" w:lineRule="exact"/>
        <w:rPr>
          <w:sz w:val="20"/>
          <w:szCs w:val="20"/>
          <w:color w:val="auto"/>
        </w:rPr>
      </w:pPr>
    </w:p>
    <w:p>
      <w:pPr>
        <w:ind w:left="640" w:right="719" w:firstLine="443"/>
        <w:spacing w:after="0" w:line="243" w:lineRule="auto"/>
        <w:rPr>
          <w:sz w:val="20"/>
          <w:szCs w:val="20"/>
          <w:color w:val="auto"/>
        </w:rPr>
      </w:pPr>
      <w:r>
        <w:rPr>
          <w:rFonts w:ascii="Arial" w:cs="Arial" w:eastAsia="Arial" w:hAnsi="Arial"/>
          <w:sz w:val="14"/>
          <w:szCs w:val="14"/>
          <w:color w:val="auto"/>
        </w:rPr>
        <w:t xml:space="preserve">In addition to the role of RIPK2 in stimulating and amplifying the adaptive immune response through cytokine production, innate immune cells, such as neutrophils, also express RIPK2 and become activated following exposure to PGN. Activated neutrophils have been observed to directly damage the epithelial lining and mucosal immune defense barrier of the GI tract by releasing human neutrophil elastases that degrade key components of the intestinal epithelial membrane, </w:t>
      </w: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3 and </w:t>
      </w:r>
      <w:r>
        <w:rPr>
          <w:rFonts w:ascii="Times New Roman" w:cs="Times New Roman" w:eastAsia="Times New Roman" w:hAnsi="Times New Roman"/>
          <w:sz w:val="14"/>
          <w:szCs w:val="14"/>
          <w:color w:val="auto"/>
        </w:rPr>
        <w:t>a</w:t>
      </w:r>
      <w:r>
        <w:rPr>
          <w:rFonts w:ascii="Arial" w:cs="Arial" w:eastAsia="Arial" w:hAnsi="Arial"/>
          <w:sz w:val="14"/>
          <w:szCs w:val="14"/>
          <w:color w:val="auto"/>
        </w:rPr>
        <w:t>4 chains of type IV collagen. As a result, the mucosal immune defense barrier of the membrane fails, allowing bacteria and bacterial byproducts access to deeper layers of the intestine and creating a feed-forward response cycle. Since this tissue-damaging cycle only requires cells of the innate immune system, it may explain why therapies targeting the adaptive immune response, even when used in combination, induce remission in less than half of all patients. The ability of the innate immune system alone to initiate and sustain IBD is supported by experiments in animals that lack a functional adaptive immune system, such as in mice that lack recombination activating genes (RAG1 and RAG2), genes essential for the development of the adaptive immune cell. For example, CD40 stimulation in RAG1/2 knockout mice activates the innate intestinal immune system in the absence of any cells of the adaptive immune system and causes intestinal inflammation and tissue damage. The TRUC model, in which mice are genetically deficient in both T-bet (a transcription factor) and RAG2, provides another example where IBD occurs in the absence of mature lymphocytes, the cells that mediate adaptive immune responses. In this model, the presence of specific but not pathogenic microbiota is sufficient to trigger the activation of the innate immune system, which leads to intestinal inflammation and damage.</w:t>
      </w:r>
    </w:p>
    <w:p>
      <w:pPr>
        <w:spacing w:after="0" w:line="31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Inflammatory Bowel Disease Background</w:t>
      </w:r>
    </w:p>
    <w:p>
      <w:pPr>
        <w:spacing w:after="0" w:line="84"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IBD is a complex disease with many contributing factors, including genetic, environmental, and immunologic factors, and is divided into two primary categories: UC, involving the innermost lining of the large intestine, and Crohn’s disease, which can affect the full thickness of the bowel wall and all parts of the GI tract. Both types are chronic, relapsing, remitting, inflammatory conditions that begin most commonly during adolescence and young adulthood. IBD is characterized by a breakdown of the epithelial lining of the intestines, which leads to an inflammatory response that is triggered by exposing deeper parts of intestinal tissue to the bacteria present in the lumen of the GI tract. The inflammatory response can further damage epithelial tissue in the GI tract and prevent healing of existing damage, resulting in a continuing, self-perpetuating cycle of damage to the intestine in IBD. In addition to direct disease impacts, patients with IBD experience negative impacts on their mental health, careers, and quality of life as compared to healthy individuals as a result of their recurrent disease symptoms and the need to cycle through therapeutic options.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719" w:firstLine="443"/>
        <w:spacing w:after="0" w:line="261" w:lineRule="auto"/>
        <w:rPr>
          <w:sz w:val="20"/>
          <w:szCs w:val="20"/>
          <w:color w:val="auto"/>
        </w:rPr>
      </w:pPr>
      <w:r>
        <w:rPr>
          <w:rFonts w:ascii="Arial" w:cs="Arial" w:eastAsia="Arial" w:hAnsi="Arial"/>
          <w:sz w:val="14"/>
          <w:szCs w:val="14"/>
          <w:color w:val="auto"/>
        </w:rPr>
        <w:t>IBD is estimated to affect two-to-three million people in the United States and over six million people globally. The IBD market was approximately $17 billion in the United States and $25 billion globally in 2025, and is expected to grow to approximately $31 billion in the United States and $40 billion globally by 2032.</w:t>
      </w:r>
    </w:p>
    <w:p>
      <w:pPr>
        <w:spacing w:after="0" w:line="44"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Approved biologics and those in late-stage development as well as targeted small molecule therapies only target cytokines that regulate downstream adaptive immune responses (e.g., TNF, IL-23, or TL1A) or block the recruitment and migration of adaptive immune cells (e.g., integrin or S1P1R), and therefore fail to address the inflammation and tissue damage caused directly by activated innate immune cells. Because existing therapies focus solely on the adaptive immune system, we believe that a novel therapy that blocks innate immune cell activation in response to microbial signals that initiate and drive IBD is needed. Cytokines and T cells within the adaptive immune system operate together through different mechanisms that are not inhibited by targeting only one aspect of the adaptive immune response. Although combinations of adaptive immune-targeted therapies are currently being evaluated in clinical trials, we believe there are key limitations to this approach due to the number of cytokines and adaptive cell types involved downstream of the RIPK2 node. Moreover, these approaches leave the innate immune response unchecked, allowing for ongoing intestinal inflammation and epithelial barrier breakdown, irrespective of cytokine blockade or reduced adaptive immune activation and recruitment.</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Limitations of Existing IBD Therapies</w:t>
      </w:r>
    </w:p>
    <w:p>
      <w:pPr>
        <w:spacing w:after="0" w:line="84" w:lineRule="exact"/>
        <w:rPr>
          <w:sz w:val="20"/>
          <w:szCs w:val="20"/>
          <w:color w:val="auto"/>
        </w:rPr>
      </w:pPr>
    </w:p>
    <w:p>
      <w:pPr>
        <w:ind w:left="640" w:right="779" w:firstLine="438"/>
        <w:spacing w:after="0" w:line="233" w:lineRule="auto"/>
        <w:rPr>
          <w:sz w:val="20"/>
          <w:szCs w:val="20"/>
          <w:color w:val="auto"/>
        </w:rPr>
      </w:pPr>
      <w:r>
        <w:rPr>
          <w:rFonts w:ascii="Arial" w:cs="Arial" w:eastAsia="Arial" w:hAnsi="Arial"/>
          <w:sz w:val="14"/>
          <w:szCs w:val="14"/>
          <w:color w:val="auto"/>
        </w:rPr>
        <w:t>A broad spectrum of cytokines and chemokines have been implicated in both UC and Crohn’s disease, several of which have been validated as drug targets to treat patients with moderate-to-severe IBD, starting with the TNF cytokine. Since the approval of the first TNF-blocking agent, REMICADE</w:t>
      </w:r>
      <w:r>
        <w:rPr>
          <w:rFonts w:ascii="Arial" w:cs="Arial" w:eastAsia="Arial" w:hAnsi="Arial"/>
          <w:sz w:val="19"/>
          <w:szCs w:val="19"/>
          <w:color w:val="auto"/>
          <w:vertAlign w:val="superscript"/>
        </w:rPr>
        <w:t>®</w:t>
      </w:r>
      <w:r>
        <w:rPr>
          <w:rFonts w:ascii="Arial" w:cs="Arial" w:eastAsia="Arial" w:hAnsi="Arial"/>
          <w:sz w:val="14"/>
          <w:szCs w:val="14"/>
          <w:color w:val="auto"/>
        </w:rPr>
        <w:t>, in 1998, a number of additional medicines targeting different cytokines or adaptive immune cells (e.g., integrins, IL-23, S1P1, and JAK) have been approved to treat IBD.</w:t>
      </w:r>
    </w:p>
    <w:p>
      <w:pPr>
        <w:spacing w:after="0" w:line="60" w:lineRule="exact"/>
        <w:rPr>
          <w:sz w:val="20"/>
          <w:szCs w:val="20"/>
          <w:color w:val="auto"/>
        </w:rPr>
      </w:pPr>
    </w:p>
    <w:p>
      <w:pPr>
        <w:ind w:left="640" w:right="719" w:firstLine="438"/>
        <w:spacing w:after="0" w:line="247" w:lineRule="auto"/>
        <w:rPr>
          <w:sz w:val="20"/>
          <w:szCs w:val="20"/>
          <w:color w:val="auto"/>
        </w:rPr>
      </w:pPr>
      <w:r>
        <w:rPr>
          <w:rFonts w:ascii="Arial" w:cs="Arial" w:eastAsia="Arial" w:hAnsi="Arial"/>
          <w:sz w:val="14"/>
          <w:szCs w:val="14"/>
          <w:color w:val="auto"/>
        </w:rPr>
        <w:t>Despite the number of therapeutic options available today, remission rates remain modest; only about 20% of patients (placebo adjusted) will respond to a particular treatment and reach disease remission. In addition, up to 45% of those who do initially respond to therapy eventually lose response over time and no approved therapies have addressed fibrostenotic disease. This leads to many patients having to cycle through therapies throughout their lives. In addition, some therapies, such as JAK inhibitors, have a black-box warning for the risk of fatal cardiovascular events. Finally, despite their broad use patients with moderate or severe disease, biologics have only been observed to reduce long-term surgical rates by approximately 30%.</w:t>
      </w:r>
    </w:p>
    <w:p>
      <w:pPr>
        <w:spacing w:after="0" w:line="54" w:lineRule="exact"/>
        <w:rPr>
          <w:sz w:val="20"/>
          <w:szCs w:val="20"/>
          <w:color w:val="auto"/>
        </w:rPr>
      </w:pPr>
    </w:p>
    <w:p>
      <w:pPr>
        <w:ind w:left="640" w:right="679" w:firstLine="438"/>
        <w:spacing w:after="0" w:line="248" w:lineRule="auto"/>
        <w:rPr>
          <w:sz w:val="20"/>
          <w:szCs w:val="20"/>
          <w:color w:val="auto"/>
        </w:rPr>
      </w:pPr>
      <w:r>
        <w:rPr>
          <w:rFonts w:ascii="Arial" w:cs="Arial" w:eastAsia="Arial" w:hAnsi="Arial"/>
          <w:sz w:val="14"/>
          <w:szCs w:val="14"/>
          <w:color w:val="auto"/>
        </w:rPr>
        <w:t>The placebo-adjusted clinical remission rates for drugs currently approved to treat UC and Crohn’s disease— targeting TNFs, integrins, IL-23, S1P1, or JAK—range from 8% to 26% for UC and 6% to 21% for Crohn’s disease, based on consolidated results from the respective approval studies summarized in Section 14 of their FDA labels. There are also multiple product candidates in development targeting integrins, TL1A, microRNA-124, or miR-124, S1P1, and IL-23 where placebo-adjusted clinical remission rates range from 8% to 28% in UC, based on consolidated results from corporate and conference presentations.</w:t>
      </w:r>
    </w:p>
    <w:p>
      <w:pPr>
        <w:spacing w:after="0" w:line="54" w:lineRule="exact"/>
        <w:rPr>
          <w:sz w:val="20"/>
          <w:szCs w:val="20"/>
          <w:color w:val="auto"/>
        </w:rPr>
      </w:pPr>
    </w:p>
    <w:p>
      <w:pPr>
        <w:ind w:left="640" w:right="739" w:firstLine="516"/>
        <w:spacing w:after="0" w:line="250" w:lineRule="auto"/>
        <w:rPr>
          <w:sz w:val="20"/>
          <w:szCs w:val="20"/>
          <w:color w:val="auto"/>
        </w:rPr>
      </w:pPr>
      <w:r>
        <w:rPr>
          <w:rFonts w:ascii="Arial" w:cs="Arial" w:eastAsia="Arial" w:hAnsi="Arial"/>
          <w:sz w:val="14"/>
          <w:szCs w:val="14"/>
          <w:color w:val="auto"/>
        </w:rPr>
        <w:t>In particular, it has been observed that in patients previously treated with an advanced therapy, or AT, targeting the adaptive immune response, efficacy is significantly lower when subsequently treated with another AT targeting a different component of the adaptive immune response. We believe this reflects the redundancy of cytokine signaling in disease and indicates that novel therapies targeting upstream disease mechanisms may be needed to improve response rates in patient’s refractory to one or more advanced therapies.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8" w:name="page109"/>
    <w:bookmarkEnd w:id="10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678815</wp:posOffset>
            </wp:positionV>
            <wp:extent cx="4589145" cy="2768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8914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Clinical remission rates of phase 2 and phase 3 trials of approved or investigational therapies for UC derived from</w:t>
      </w:r>
    </w:p>
    <w:p>
      <w:pPr>
        <w:spacing w:after="0" w:line="12" w:lineRule="exact"/>
        <w:rPr>
          <w:sz w:val="20"/>
          <w:szCs w:val="20"/>
          <w:color w:val="auto"/>
        </w:rPr>
      </w:pPr>
    </w:p>
    <w:p>
      <w:pPr>
        <w:jc w:val="center"/>
        <w:ind w:left="640" w:right="659"/>
        <w:spacing w:after="0" w:line="250" w:lineRule="auto"/>
        <w:rPr>
          <w:sz w:val="20"/>
          <w:szCs w:val="20"/>
          <w:color w:val="auto"/>
        </w:rPr>
      </w:pPr>
      <w:r>
        <w:rPr>
          <w:rFonts w:ascii="Arial" w:cs="Arial" w:eastAsia="Arial" w:hAnsi="Arial"/>
          <w:sz w:val="14"/>
          <w:szCs w:val="14"/>
          <w:i w:val="1"/>
          <w:iCs w:val="1"/>
          <w:color w:val="auto"/>
        </w:rPr>
        <w:t>conference presentations, paper publications and FDA labels. Comparator trial data set represents 1,458 AT-naïve (406 placebo treated and 1,052 treated with active agent) and 1,254 AT-experienced (353 placebo treated and 901 treated with active agent) patients. In trials where multiple doses were tested, results reflect a weighted average.</w:t>
      </w:r>
    </w:p>
    <w:p>
      <w:pPr>
        <w:spacing w:after="0" w:line="52" w:lineRule="exact"/>
        <w:rPr>
          <w:sz w:val="20"/>
          <w:szCs w:val="20"/>
          <w:color w:val="auto"/>
        </w:rPr>
      </w:pPr>
    </w:p>
    <w:p>
      <w:pPr>
        <w:ind w:left="640" w:right="819" w:firstLine="438"/>
        <w:spacing w:after="0" w:line="250" w:lineRule="auto"/>
        <w:rPr>
          <w:sz w:val="20"/>
          <w:szCs w:val="20"/>
          <w:color w:val="auto"/>
        </w:rPr>
      </w:pPr>
      <w:r>
        <w:rPr>
          <w:rFonts w:ascii="Arial" w:cs="Arial" w:eastAsia="Arial" w:hAnsi="Arial"/>
          <w:sz w:val="14"/>
          <w:szCs w:val="14"/>
          <w:color w:val="auto"/>
        </w:rPr>
        <w:t>Based on the observed limitations of the advanced therapies, we believe that there is considerable interest for improved efficacy in UC and Crohn’s disease treatments, either through novel therapeutic mechanisms or by combining approved agents. We believe the underlying reason for the lack of transformative benefit to date is due to the number of cytokines and chemokines activated downstream of RIPK2 that have overlapping and redundant pathogenic effects in IBD, and the focus of existing therapies solely on the adaptive, and not the innate, immune system.</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Potential for RIPK2 Inhibition across IBD Patients</w:t>
      </w:r>
    </w:p>
    <w:p>
      <w:pPr>
        <w:spacing w:after="0" w:line="84" w:lineRule="exact"/>
        <w:rPr>
          <w:sz w:val="20"/>
          <w:szCs w:val="20"/>
          <w:color w:val="auto"/>
        </w:rPr>
      </w:pPr>
    </w:p>
    <w:p>
      <w:pPr>
        <w:ind w:left="640" w:right="719" w:firstLine="438"/>
        <w:spacing w:after="0" w:line="247" w:lineRule="auto"/>
        <w:rPr>
          <w:sz w:val="20"/>
          <w:szCs w:val="20"/>
          <w:color w:val="auto"/>
        </w:rPr>
      </w:pPr>
      <w:r>
        <w:rPr>
          <w:rFonts w:ascii="Arial" w:cs="Arial" w:eastAsia="Arial" w:hAnsi="Arial"/>
          <w:sz w:val="14"/>
          <w:szCs w:val="14"/>
          <w:color w:val="auto"/>
        </w:rPr>
        <w:t>Activated RIPK2 has been observed in IBD across multiple preclinical analyses and studies. In particular, ubiquitin side chains have been observed on RIPK2, which is a post-translational modification (ubiquitination) understood to be formed only following RIPK2 activation by XIAP. As reflected in the graphic below, biopsy samples from both UC and Crohn’s disease patients were reported by a third party in the article titled “</w:t>
      </w:r>
      <w:r>
        <w:rPr>
          <w:rFonts w:ascii="Arial" w:cs="Arial" w:eastAsia="Arial" w:hAnsi="Arial"/>
          <w:sz w:val="14"/>
          <w:szCs w:val="14"/>
          <w:i w:val="1"/>
          <w:iCs w:val="1"/>
          <w:color w:val="auto"/>
        </w:rPr>
        <w:t>Simultaneous substrate and ubiquitin</w:t>
      </w:r>
      <w:r>
        <w:rPr>
          <w:rFonts w:ascii="Arial" w:cs="Arial" w:eastAsia="Arial" w:hAnsi="Arial"/>
          <w:sz w:val="14"/>
          <w:szCs w:val="14"/>
          <w:color w:val="auto"/>
        </w:rPr>
        <w:t xml:space="preserve"> </w:t>
      </w:r>
      <w:r>
        <w:rPr>
          <w:rFonts w:ascii="Arial" w:cs="Arial" w:eastAsia="Arial" w:hAnsi="Arial"/>
          <w:sz w:val="14"/>
          <w:szCs w:val="14"/>
          <w:i w:val="1"/>
          <w:iCs w:val="1"/>
          <w:color w:val="auto"/>
        </w:rPr>
        <w:t>modification recognition by bispecific antibodies enables detection of ubiquitinated RIP1 and RIP2</w:t>
      </w:r>
      <w:r>
        <w:rPr>
          <w:rFonts w:ascii="Arial" w:cs="Arial" w:eastAsia="Arial" w:hAnsi="Arial"/>
          <w:sz w:val="14"/>
          <w:szCs w:val="14"/>
          <w:color w:val="auto"/>
        </w:rPr>
        <w:t>” published in Volume</w:t>
      </w:r>
      <w:r>
        <w:rPr>
          <w:rFonts w:ascii="Arial" w:cs="Arial" w:eastAsia="Arial" w:hAnsi="Arial"/>
          <w:sz w:val="14"/>
          <w:szCs w:val="14"/>
          <w:i w:val="1"/>
          <w:iCs w:val="1"/>
          <w:color w:val="auto"/>
        </w:rPr>
        <w:t xml:space="preserve"> </w:t>
      </w:r>
      <w:r>
        <w:rPr>
          <w:rFonts w:ascii="Arial" w:cs="Arial" w:eastAsia="Arial" w:hAnsi="Arial"/>
          <w:sz w:val="14"/>
          <w:szCs w:val="14"/>
          <w:color w:val="auto"/>
        </w:rPr>
        <w:t>17, Issue 819 of Science Signaling to have elevated levels of ubiquitin side chains on RIPK2 compared to non-IBD patients, suggesting that RIPK2 was activated in IBD patients.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9" w:name="page110"/>
    <w:bookmarkEnd w:id="10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Increased Levels of Activated (Ubiquitinated) RIPK2 in Patients with UC and Crohn’s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132080</wp:posOffset>
            </wp:positionV>
            <wp:extent cx="2543810" cy="2052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43810" cy="205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Statistical significance was calculated with Mann-Whitney test, *** = p &lt; 0.001.</w:t>
      </w:r>
    </w:p>
    <w:p>
      <w:pPr>
        <w:spacing w:after="0" w:line="84" w:lineRule="exact"/>
        <w:rPr>
          <w:sz w:val="20"/>
          <w:szCs w:val="20"/>
          <w:color w:val="auto"/>
        </w:rPr>
      </w:pPr>
    </w:p>
    <w:p>
      <w:pPr>
        <w:ind w:left="640" w:right="739" w:firstLine="443"/>
        <w:spacing w:after="0" w:line="261" w:lineRule="auto"/>
        <w:rPr>
          <w:sz w:val="20"/>
          <w:szCs w:val="20"/>
          <w:color w:val="auto"/>
        </w:rPr>
      </w:pPr>
      <w:r>
        <w:rPr>
          <w:rFonts w:ascii="Arial" w:cs="Arial" w:eastAsia="Arial" w:hAnsi="Arial"/>
          <w:sz w:val="14"/>
          <w:szCs w:val="14"/>
          <w:color w:val="auto"/>
        </w:rPr>
        <w:t>Human genetic studies have identified single nucleotide polymorphisms, or SNPs, in two genes known to regulate RIPK2 activity that are associated with increased risk of IBD: ATG16L1 (hazard ratio, or HR, of 1.2) and CARD9 (HR of 1.2). In addition, there are distinct CARD9 SNPs that are associated with reduced risk of IBD (HR of 0.3-0.4).</w:t>
      </w:r>
    </w:p>
    <w:p>
      <w:pPr>
        <w:spacing w:after="0" w:line="44"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In an internal analysis, we used our proprietary gene signature that measures RNA expression levels made by a specific set of genes we believe are regulated by RIPK2 post-PGN stimulation. We refer to such levels using gene set variation analysis, or GSVA, of the RIPK2 gene signature. The chart below illustrates the results of a preclinical analysis— using third-party data from UC and Crohn’s disease patients in the article titled “</w:t>
      </w:r>
      <w:r>
        <w:rPr>
          <w:rFonts w:ascii="Arial" w:cs="Arial" w:eastAsia="Arial" w:hAnsi="Arial"/>
          <w:sz w:val="14"/>
          <w:szCs w:val="14"/>
          <w:i w:val="1"/>
          <w:iCs w:val="1"/>
          <w:color w:val="auto"/>
        </w:rPr>
        <w:t>Ulcerative colitis mucosal transcriptomes</w:t>
      </w:r>
      <w:r>
        <w:rPr>
          <w:rFonts w:ascii="Arial" w:cs="Arial" w:eastAsia="Arial" w:hAnsi="Arial"/>
          <w:sz w:val="14"/>
          <w:szCs w:val="14"/>
          <w:color w:val="auto"/>
        </w:rPr>
        <w:t xml:space="preserve"> </w:t>
      </w:r>
      <w:r>
        <w:rPr>
          <w:rFonts w:ascii="Arial" w:cs="Arial" w:eastAsia="Arial" w:hAnsi="Arial"/>
          <w:sz w:val="14"/>
          <w:szCs w:val="14"/>
          <w:i w:val="1"/>
          <w:iCs w:val="1"/>
          <w:color w:val="auto"/>
        </w:rPr>
        <w:t>reveal mitochondriopathy and personalized mechanisms underlying disease severity and treatment response</w:t>
      </w:r>
      <w:r>
        <w:rPr>
          <w:rFonts w:ascii="Arial" w:cs="Arial" w:eastAsia="Arial" w:hAnsi="Arial"/>
          <w:sz w:val="14"/>
          <w:szCs w:val="14"/>
          <w:color w:val="auto"/>
        </w:rPr>
        <w:t>” published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 Volume 10 of Nature Communications and in the article titled </w:t>
      </w:r>
      <w:r>
        <w:rPr>
          <w:rFonts w:ascii="Arial" w:cs="Arial" w:eastAsia="Arial" w:hAnsi="Arial"/>
          <w:sz w:val="14"/>
          <w:szCs w:val="14"/>
          <w:i w:val="1"/>
          <w:iCs w:val="1"/>
          <w:color w:val="auto"/>
        </w:rPr>
        <w:t>“IL-1-driven stromal–neutrophil interactions define a</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subset of patients with inflammatory bowel disease that does not respond to therapies” </w:t>
      </w:r>
      <w:r>
        <w:rPr>
          <w:rFonts w:ascii="Arial" w:cs="Arial" w:eastAsia="Arial" w:hAnsi="Arial"/>
          <w:sz w:val="14"/>
          <w:szCs w:val="14"/>
          <w:color w:val="auto"/>
        </w:rPr>
        <w:t>published in Volume 27 of Nature</w:t>
      </w:r>
      <w:r>
        <w:rPr>
          <w:rFonts w:ascii="Arial" w:cs="Arial" w:eastAsia="Arial" w:hAnsi="Arial"/>
          <w:sz w:val="14"/>
          <w:szCs w:val="14"/>
          <w:i w:val="1"/>
          <w:iCs w:val="1"/>
          <w:color w:val="auto"/>
        </w:rPr>
        <w:t xml:space="preserve"> </w:t>
      </w:r>
      <w:r>
        <w:rPr>
          <w:rFonts w:ascii="Arial" w:cs="Arial" w:eastAsia="Arial" w:hAnsi="Arial"/>
          <w:sz w:val="14"/>
          <w:szCs w:val="14"/>
          <w:color w:val="auto"/>
        </w:rPr>
        <w:t>Medicine—deposited in the Gene Expression Omnibus that we conducted with a proprietary gene signature which shows RIPK2-dependent gene expression in intestinal biopsies from UC and Crohn’s disease patients compared to healthy subjects. In this analysis, we observed that UC and Crohn’s disease patients, and in particular patients in the more severe disease categories, had a greater incidence of the RIPK2 GSVA (i.e., RIPK2 gene activation).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0" w:name="page111"/>
    <w:bookmarkEnd w:id="11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640" w:right="679"/>
        <w:spacing w:after="0" w:line="291" w:lineRule="auto"/>
        <w:rPr>
          <w:sz w:val="20"/>
          <w:szCs w:val="20"/>
          <w:color w:val="auto"/>
        </w:rPr>
      </w:pPr>
      <w:r>
        <w:rPr>
          <w:rFonts w:ascii="Arial" w:cs="Arial" w:eastAsia="Arial" w:hAnsi="Arial"/>
          <w:sz w:val="14"/>
          <w:szCs w:val="14"/>
          <w:b w:val="1"/>
          <w:bCs w:val="1"/>
          <w:color w:val="auto"/>
        </w:rPr>
        <w:t>Expression of Genes Induced by Active RIPK2 Was Increased in Patient Biopsies from UC and Crohn’s Disease Patients; Highest Expression Observed in Moderate and Severe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88900</wp:posOffset>
            </wp:positionV>
            <wp:extent cx="4112260" cy="2073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12260"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640" w:right="659"/>
        <w:spacing w:after="0" w:line="259" w:lineRule="auto"/>
        <w:rPr>
          <w:sz w:val="20"/>
          <w:szCs w:val="20"/>
          <w:color w:val="auto"/>
        </w:rPr>
      </w:pPr>
      <w:r>
        <w:rPr>
          <w:rFonts w:ascii="Arial" w:cs="Arial" w:eastAsia="Arial" w:hAnsi="Arial"/>
          <w:sz w:val="14"/>
          <w:szCs w:val="14"/>
          <w:i w:val="1"/>
          <w:iCs w:val="1"/>
          <w:color w:val="auto"/>
        </w:rPr>
        <w:t>The dashed line indicates 99th percentile of the patient’s t-distribution derived from the healthy control group (GSVA cutoff for the panel of UC=0.46 and Crohn’s disease=0.42). This value was used as a cutoff for patient-level determination of elevated RIPK2 signaling. Statistical significance was calculated with a Mann Whitney U-Test.</w:t>
      </w:r>
    </w:p>
    <w:p>
      <w:pPr>
        <w:spacing w:after="0" w:line="4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We have also measured our proprietary RIPK2 gene signature in a preclinical study of IBD patient biopsy samples both before and after treatment with approved drugs used to treat IBD. In this study and as set forth in and below the following figure, we observed that RIPK2 GSVA levels had a statistically significant decrease following treatment with several standard-of-care IBD therapies (infliximab, vedolizumab, and ustekinumab) in a majority of patients who responded to treatment, whereas pre- and post-treatment GSVA levels were statistically indistinguishable in a majority of patients who did not respond to treatment. Based on our observations, we believe that RIPK2 is activated in most IBD patients before treatment and remains activated in IBD patients who fail to respond to approved IBD therapies. We believe inhibiting RIPK2 as a treatment method has the potential to serve as a first-line therapy for patients with moderate-to-severe IBD and as a second-line treatment in patients who have been previously treated but have not responded to standard-of-care therapies, including infliximab, vedolizumab, or ustekinumab.</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charts below show the results of an analysis we conducted on public datasets described below.</w:t>
      </w:r>
    </w:p>
    <w:p>
      <w:pPr>
        <w:spacing w:after="0" w:line="172" w:lineRule="exact"/>
        <w:rPr>
          <w:sz w:val="20"/>
          <w:szCs w:val="20"/>
          <w:color w:val="auto"/>
        </w:rPr>
      </w:pPr>
    </w:p>
    <w:p>
      <w:pPr>
        <w:jc w:val="center"/>
        <w:ind w:left="640" w:right="679"/>
        <w:spacing w:after="0" w:line="291" w:lineRule="auto"/>
        <w:rPr>
          <w:sz w:val="20"/>
          <w:szCs w:val="20"/>
          <w:color w:val="auto"/>
        </w:rPr>
      </w:pPr>
      <w:r>
        <w:rPr>
          <w:rFonts w:ascii="Arial" w:cs="Arial" w:eastAsia="Arial" w:hAnsi="Arial"/>
          <w:sz w:val="14"/>
          <w:szCs w:val="14"/>
          <w:b w:val="1"/>
          <w:bCs w:val="1"/>
          <w:color w:val="auto"/>
        </w:rPr>
        <w:t>Observed RIPK2 Gene Signature Expression Rates Remained Elevated in Non-Responders to Currently Available Therapies as Compared to Responding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88900</wp:posOffset>
            </wp:positionV>
            <wp:extent cx="4411980" cy="14732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11980" cy="147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1" w:name="page112"/>
    <w:bookmarkEnd w:id="11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640" w:right="659"/>
        <w:spacing w:after="0" w:line="253" w:lineRule="auto"/>
        <w:rPr>
          <w:sz w:val="20"/>
          <w:szCs w:val="20"/>
          <w:color w:val="auto"/>
        </w:rPr>
      </w:pPr>
      <w:r>
        <w:rPr>
          <w:rFonts w:ascii="Arial" w:cs="Arial" w:eastAsia="Arial" w:hAnsi="Arial"/>
          <w:sz w:val="14"/>
          <w:szCs w:val="14"/>
          <w:i w:val="1"/>
          <w:iCs w:val="1"/>
          <w:color w:val="auto"/>
        </w:rPr>
        <w:t>The infliximab and vedolizumab datasets used inflamed mucosal tissue and all patients in the dataset were included in the analysis. The ustekinumab dataset used uninflamed mucosal tissue and therefore the analysis was performed on a subset of patients (53%) having evidence of RIPK2 activation at baseline (GSVA score &gt; 0.1). ** = p &lt; 0.01; *** = p &lt; 0.001; **** = p &lt; 0.0001; n.s. = not significant.</w:t>
      </w:r>
    </w:p>
    <w:p>
      <w:pPr>
        <w:spacing w:after="0" w:line="51" w:lineRule="exact"/>
        <w:rPr>
          <w:sz w:val="20"/>
          <w:szCs w:val="20"/>
          <w:color w:val="auto"/>
        </w:rPr>
      </w:pPr>
    </w:p>
    <w:p>
      <w:pPr>
        <w:jc w:val="center"/>
        <w:ind w:left="640" w:right="659"/>
        <w:spacing w:after="0" w:line="246" w:lineRule="auto"/>
        <w:rPr>
          <w:sz w:val="20"/>
          <w:szCs w:val="20"/>
          <w:color w:val="auto"/>
        </w:rPr>
      </w:pPr>
      <w:r>
        <w:rPr>
          <w:rFonts w:ascii="Arial" w:cs="Arial" w:eastAsia="Arial" w:hAnsi="Arial"/>
          <w:sz w:val="14"/>
          <w:szCs w:val="14"/>
          <w:i w:val="1"/>
          <w:iCs w:val="1"/>
          <w:color w:val="auto"/>
        </w:rPr>
        <w:t>The infliximab dataset included samples from 12 healthy subjects as a comparator (mean signature score=-0.71). The gene signature was observed to decrease selectively in responder populations post-treatment (n=8, mean pre-treatment score=0.23, mean post-treatment score=-0.61); at 80% power and p=0.05 significance, the analysis was designed to be sufficient to detect significant decreases to less than a mean post-treatment score of -0.22. There was no significant decrease observed in the non-responder populations post-treatment (n=15, mean pre-treatment score =0.54, mean post-treatment score=0.22); at 80% power and p=0.05 significance, the analysis was designed to be sufficient to detect significant decreases to less than a mean post-treatment score of 0.076.</w:t>
      </w:r>
    </w:p>
    <w:p>
      <w:pPr>
        <w:spacing w:after="0" w:line="58" w:lineRule="exact"/>
        <w:rPr>
          <w:sz w:val="20"/>
          <w:szCs w:val="20"/>
          <w:color w:val="auto"/>
        </w:rPr>
      </w:pPr>
    </w:p>
    <w:p>
      <w:pPr>
        <w:jc w:val="center"/>
        <w:ind w:left="640" w:right="699"/>
        <w:spacing w:after="0" w:line="246" w:lineRule="auto"/>
        <w:rPr>
          <w:sz w:val="20"/>
          <w:szCs w:val="20"/>
          <w:color w:val="auto"/>
        </w:rPr>
      </w:pPr>
      <w:r>
        <w:rPr>
          <w:rFonts w:ascii="Arial" w:cs="Arial" w:eastAsia="Arial" w:hAnsi="Arial"/>
          <w:sz w:val="14"/>
          <w:szCs w:val="14"/>
          <w:i w:val="1"/>
          <w:iCs w:val="1"/>
          <w:color w:val="auto"/>
        </w:rPr>
        <w:t>The vedolizumab dataset included samples from 12 healthy subjects as a comparator (mean signature score=-0.71). The gene signature was observed to decrease selectively in responder populations post-treatment (n=16, mean pre-treatment score=0.10, mean post-treatment score=-0.60); at 80% power and p=0.05 significance, the analysis was designed to be sufficient to detect significant decreases to less than a mean post-treatment score of -0.27. There was no significant decrease observed in the non-responder populations post-treatment (n=6, mean pre-treatment score =0.26, mean post-treatment score=0.33); at 80% power and p=0.05 significance, the analysis was designed to be sufficient to detect significant decreases to less than a mean post-treatment score of -0.78.</w:t>
      </w:r>
    </w:p>
    <w:p>
      <w:pPr>
        <w:spacing w:after="0" w:line="58" w:lineRule="exact"/>
        <w:rPr>
          <w:sz w:val="20"/>
          <w:szCs w:val="20"/>
          <w:color w:val="auto"/>
        </w:rPr>
      </w:pPr>
    </w:p>
    <w:p>
      <w:pPr>
        <w:jc w:val="center"/>
        <w:ind w:left="640" w:right="699"/>
        <w:spacing w:after="0" w:line="246" w:lineRule="auto"/>
        <w:rPr>
          <w:sz w:val="20"/>
          <w:szCs w:val="20"/>
          <w:color w:val="auto"/>
        </w:rPr>
      </w:pPr>
      <w:r>
        <w:rPr>
          <w:rFonts w:ascii="Arial" w:cs="Arial" w:eastAsia="Arial" w:hAnsi="Arial"/>
          <w:sz w:val="14"/>
          <w:szCs w:val="14"/>
          <w:i w:val="1"/>
          <w:iCs w:val="1"/>
          <w:color w:val="auto"/>
        </w:rPr>
        <w:t>The ustekinumab dataset included samples from 26 healthy subjects as a comparator (mean signature score=-0.29). The gene signature was observed to decrease selectively in responder populations post-treatment (n=17, mean pre-treatment score=0.44, post-treatment score=0.038); at 80% power and p=0.05 significance, the analysis was designed to be sufficient to detect significant decreases to less than a mean post-treatment score of 0.052. There was no significant decrease observed in the non-responder populations post-treatment (n=8, mean pre-treatment score=0.57, mean post-treatment score=0.37); at 80% power and p=0.05 significance, the analysis was designed to be sufficient to detect significant decreases to less than a mean post-treatment score of -0.049.</w:t>
      </w:r>
    </w:p>
    <w:p>
      <w:pPr>
        <w:spacing w:after="0" w:line="217" w:lineRule="exact"/>
        <w:rPr>
          <w:sz w:val="20"/>
          <w:szCs w:val="20"/>
          <w:color w:val="auto"/>
        </w:rPr>
      </w:pPr>
    </w:p>
    <w:p>
      <w:pPr>
        <w:ind w:left="640" w:right="739" w:firstLine="516"/>
        <w:spacing w:after="0" w:line="242" w:lineRule="auto"/>
        <w:rPr>
          <w:sz w:val="20"/>
          <w:szCs w:val="20"/>
          <w:color w:val="auto"/>
        </w:rPr>
      </w:pPr>
      <w:r>
        <w:rPr>
          <w:rFonts w:ascii="Arial" w:cs="Arial" w:eastAsia="Arial" w:hAnsi="Arial"/>
          <w:sz w:val="14"/>
          <w:szCs w:val="14"/>
          <w:color w:val="auto"/>
        </w:rPr>
        <w:t>In another preclinical study reflected below, we evaluated inflammatory and fibrotic gene expression in human IBD biopsies treated with OD-001. Multiple biopsies from inflamed mucosa of IBD patients were collected and cultured with either OD-001 or vehicle control, followed by gene expression analysis using RNA sequencing. We observed a statistically significant reduction in the RIPK2 gene signature relative to random permutations. In addition, we assessed the treatment effect of OD-001 using published gene expression profiles associated with activation of inflammatory and fibrosis pathways. We observed a statistically significant reduction in an inflammatory monocyte signature (M5) and an inflammatory fibroblast signature (M4) reported in the article titled “</w:t>
      </w:r>
      <w:r>
        <w:rPr>
          <w:rFonts w:ascii="Arial" w:cs="Arial" w:eastAsia="Arial" w:hAnsi="Arial"/>
          <w:sz w:val="14"/>
          <w:szCs w:val="14"/>
          <w:i w:val="1"/>
          <w:iCs w:val="1"/>
          <w:color w:val="auto"/>
        </w:rPr>
        <w:t>IL-1-driven stromal–neutrophil interactions define a</w:t>
      </w:r>
      <w:r>
        <w:rPr>
          <w:rFonts w:ascii="Arial" w:cs="Arial" w:eastAsia="Arial" w:hAnsi="Arial"/>
          <w:sz w:val="14"/>
          <w:szCs w:val="14"/>
          <w:color w:val="auto"/>
        </w:rPr>
        <w:t xml:space="preserve"> </w:t>
      </w:r>
      <w:r>
        <w:rPr>
          <w:rFonts w:ascii="Arial" w:cs="Arial" w:eastAsia="Arial" w:hAnsi="Arial"/>
          <w:sz w:val="14"/>
          <w:szCs w:val="14"/>
          <w:i w:val="1"/>
          <w:iCs w:val="1"/>
          <w:color w:val="auto"/>
        </w:rPr>
        <w:t>subset of patients with inflammatory bowel disease that does not respond to therapies</w:t>
      </w:r>
      <w:r>
        <w:rPr>
          <w:rFonts w:ascii="Arial" w:cs="Arial" w:eastAsia="Arial" w:hAnsi="Arial"/>
          <w:sz w:val="14"/>
          <w:szCs w:val="14"/>
          <w:color w:val="auto"/>
        </w:rPr>
        <w:t>” published in Volume 27 of Nature</w:t>
      </w:r>
      <w:r>
        <w:rPr>
          <w:rFonts w:ascii="Arial" w:cs="Arial" w:eastAsia="Arial" w:hAnsi="Arial"/>
          <w:sz w:val="14"/>
          <w:szCs w:val="14"/>
          <w:i w:val="1"/>
          <w:iCs w:val="1"/>
          <w:color w:val="auto"/>
        </w:rPr>
        <w:t xml:space="preserve"> </w:t>
      </w:r>
      <w:r>
        <w:rPr>
          <w:rFonts w:ascii="Arial" w:cs="Arial" w:eastAsia="Arial" w:hAnsi="Arial"/>
          <w:sz w:val="14"/>
          <w:szCs w:val="14"/>
          <w:color w:val="auto"/>
        </w:rPr>
        <w:t>Medicine, a TNF-mediated inflammation signature, defined as the union between sets N00446 (TNF-jun N-terminal</w:t>
      </w:r>
    </w:p>
    <w:p>
      <w:pPr>
        <w:ind w:left="640"/>
        <w:spacing w:after="0"/>
        <w:rPr>
          <w:sz w:val="20"/>
          <w:szCs w:val="20"/>
          <w:color w:val="auto"/>
        </w:rPr>
      </w:pPr>
      <w:r>
        <w:rPr>
          <w:rFonts w:ascii="Arial" w:cs="Arial" w:eastAsia="Arial" w:hAnsi="Arial"/>
          <w:sz w:val="14"/>
          <w:szCs w:val="14"/>
          <w:color w:val="auto"/>
        </w:rPr>
        <w:t>kinases, or JNK), N00444 (TNF-p38), and N00151 (TNF-NF-</w:t>
      </w:r>
      <w:r>
        <w:rPr>
          <w:rFonts w:ascii="Times New Roman" w:cs="Times New Roman" w:eastAsia="Times New Roman" w:hAnsi="Times New Roman"/>
          <w:sz w:val="17"/>
          <w:szCs w:val="17"/>
          <w:color w:val="auto"/>
        </w:rPr>
        <w:t>κ</w:t>
      </w:r>
      <w:r>
        <w:rPr>
          <w:rFonts w:ascii="Arial" w:cs="Arial" w:eastAsia="Arial" w:hAnsi="Arial"/>
          <w:sz w:val="14"/>
          <w:szCs w:val="14"/>
          <w:color w:val="auto"/>
        </w:rPr>
        <w:t>B) (KEGG pathway) and in a Crohn’s disease-penetrating</w:t>
      </w:r>
    </w:p>
    <w:p>
      <w:pPr>
        <w:ind w:left="640" w:right="679"/>
        <w:spacing w:after="0" w:line="261" w:lineRule="auto"/>
        <w:rPr>
          <w:sz w:val="20"/>
          <w:szCs w:val="20"/>
          <w:color w:val="auto"/>
        </w:rPr>
      </w:pPr>
      <w:r>
        <w:rPr>
          <w:rFonts w:ascii="Arial" w:cs="Arial" w:eastAsia="Arial" w:hAnsi="Arial"/>
          <w:sz w:val="14"/>
          <w:szCs w:val="14"/>
          <w:color w:val="auto"/>
        </w:rPr>
        <w:t>fibrosis dataset published in the article titled “</w:t>
      </w:r>
      <w:r>
        <w:rPr>
          <w:rFonts w:ascii="Arial" w:cs="Arial" w:eastAsia="Arial" w:hAnsi="Arial"/>
          <w:sz w:val="14"/>
          <w:szCs w:val="14"/>
          <w:i w:val="1"/>
          <w:iCs w:val="1"/>
          <w:color w:val="auto"/>
        </w:rPr>
        <w:t>Reverse translation approach generates a signature of penetrating fibrosis in</w:t>
      </w:r>
      <w:r>
        <w:rPr>
          <w:rFonts w:ascii="Arial" w:cs="Arial" w:eastAsia="Arial" w:hAnsi="Arial"/>
          <w:sz w:val="14"/>
          <w:szCs w:val="14"/>
          <w:color w:val="auto"/>
        </w:rPr>
        <w:t xml:space="preserve"> </w:t>
      </w:r>
      <w:r>
        <w:rPr>
          <w:rFonts w:ascii="Arial" w:cs="Arial" w:eastAsia="Arial" w:hAnsi="Arial"/>
          <w:sz w:val="14"/>
          <w:szCs w:val="14"/>
          <w:i w:val="1"/>
          <w:iCs w:val="1"/>
          <w:color w:val="auto"/>
        </w:rPr>
        <w:t>Crohn’s disease that is associated with anti-TNF response</w:t>
      </w:r>
      <w:r>
        <w:rPr>
          <w:rFonts w:ascii="Arial" w:cs="Arial" w:eastAsia="Arial" w:hAnsi="Arial"/>
          <w:sz w:val="14"/>
          <w:szCs w:val="14"/>
          <w:color w:val="auto"/>
        </w:rPr>
        <w:t>” published in Volume 71, Issue 7 of Gut.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2" w:name="page113"/>
    <w:bookmarkEnd w:id="11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RIPK2 Inhibition Reduced Expression of Inflammation and Fibrosis-Associated Gene 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132080</wp:posOffset>
            </wp:positionV>
            <wp:extent cx="2496185" cy="2686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96185" cy="268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640" w:right="679"/>
        <w:spacing w:after="0" w:line="245" w:lineRule="auto"/>
        <w:rPr>
          <w:sz w:val="20"/>
          <w:szCs w:val="20"/>
          <w:color w:val="auto"/>
        </w:rPr>
      </w:pPr>
      <w:r>
        <w:rPr>
          <w:rFonts w:ascii="Arial" w:cs="Arial" w:eastAsia="Arial" w:hAnsi="Arial"/>
          <w:sz w:val="14"/>
          <w:szCs w:val="14"/>
          <w:i w:val="1"/>
          <w:iCs w:val="1"/>
          <w:color w:val="auto"/>
        </w:rPr>
        <w:t>The figure above depicts data from a total of nine biopsy pairs across seven patients (Crohn’s disease, n=3; UC, n=4). The barplots indicate fold-change in expression of gene sets between OD-001 treatment and control, error bars indicate standard deviation and p-values indicate enrichment of gene sets among downregulated genes. To calculate p-values relative to fold-change distributions, genes were randomly permuted 1,000 times with a total of 20 genes in each permutation. Average-fold-change was calculated for each permutation, creating a null distribution from which the p-value was determined. The fold-change cutoff for p=0.05 significance is -0.30. Average-fold-change in each of the gene sets listed in the figure in order of left to right is -0.51, -0.38, -0.47, -0.48 and -0.68, and average fold-changes in each gene set included above were statistically significant.</w:t>
      </w:r>
    </w:p>
    <w:p>
      <w:pPr>
        <w:spacing w:after="0" w:line="58"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Based on the observations described above, we believe that RIPK2 was active in patients with IBD and that sustained RIPK2 gene expression in patients non-responsive to standard-of-care therapies suggests this pathway may be responsible for resistance. In addition, we believe the concordance between decreases in the RIPK2 gene signature and published gene signatures of inflammation and fibrosis following treatment with OD-001 suggests potential benefits on reducing inflammatory signaling and fibrosis. We believe that reducing fibrosis in IBD patients may prevent the serious long-term manifestations of the disease that are linked to surgical interventions and morbidity.</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Our Solution: RIPK2 Scaffolding Inhibitor (OD-001)</w:t>
      </w:r>
    </w:p>
    <w:p>
      <w:pPr>
        <w:spacing w:after="0" w:line="84" w:lineRule="exact"/>
        <w:rPr>
          <w:sz w:val="20"/>
          <w:szCs w:val="20"/>
          <w:color w:val="auto"/>
        </w:rPr>
      </w:pPr>
    </w:p>
    <w:p>
      <w:pPr>
        <w:ind w:left="640" w:right="699" w:firstLine="438"/>
        <w:spacing w:after="0" w:line="247" w:lineRule="auto"/>
        <w:rPr>
          <w:sz w:val="20"/>
          <w:szCs w:val="20"/>
          <w:color w:val="auto"/>
        </w:rPr>
      </w:pPr>
      <w:r>
        <w:rPr>
          <w:rFonts w:ascii="Arial" w:cs="Arial" w:eastAsia="Arial" w:hAnsi="Arial"/>
          <w:sz w:val="14"/>
          <w:szCs w:val="14"/>
          <w:color w:val="auto"/>
        </w:rPr>
        <w:t>OD-001 is designed to be an advanced oral therapy that is amenable for broad use in moderate-to-severe IBD patients, either as a monotherapy or in combination. By blocking RIPK2 scaffolding with XIAP, which we believe is critical to downstream pathway signaling and activation of proinflammatory cells of both the innate and adaptive immune systems, OD-001 is designed to inhibit cytokine and chemokine production that activate the adaptive immune system and propagate the inflammatory response to reduce inflammation in the gut and allow the epithelial lining of the GI tract to heal. OD-001 is also designed to downregulate activity of innate immune system effector cells, such as neutrophils, which have been shown to directly damage the GI tract.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Preclinical Data</w:t>
      </w:r>
    </w:p>
    <w:p>
      <w:pPr>
        <w:spacing w:after="0" w:line="84" w:lineRule="exact"/>
        <w:rPr>
          <w:sz w:val="20"/>
          <w:szCs w:val="20"/>
          <w:color w:val="auto"/>
        </w:rPr>
      </w:pPr>
    </w:p>
    <w:p>
      <w:pPr>
        <w:ind w:left="640" w:right="739" w:firstLine="438"/>
        <w:spacing w:after="0" w:line="254" w:lineRule="auto"/>
        <w:rPr>
          <w:sz w:val="20"/>
          <w:szCs w:val="20"/>
          <w:color w:val="auto"/>
        </w:rPr>
      </w:pPr>
      <w:r>
        <w:rPr>
          <w:rFonts w:ascii="Arial" w:cs="Arial" w:eastAsia="Arial" w:hAnsi="Arial"/>
          <w:sz w:val="14"/>
          <w:szCs w:val="14"/>
          <w:color w:val="auto"/>
        </w:rPr>
        <w:t>We have conducted a number of preclinical studies to examine the role of RIPK2 and OD-001, and we believe our preclinical data supports the potential of OD-001 as an oral treatment to suppress microbial signaling from PGN and reduce the amplification of the innate immune response following exposure to microbiota, with the potential for it to be used as a monotherapy or in combination therapy. In our preclinical studies, we observed that RIPK2 inhibition has the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3" w:name="page114"/>
    <w:bookmarkEnd w:id="11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48" w:lineRule="auto"/>
        <w:rPr>
          <w:sz w:val="20"/>
          <w:szCs w:val="20"/>
          <w:color w:val="auto"/>
        </w:rPr>
      </w:pPr>
      <w:r>
        <w:rPr>
          <w:rFonts w:ascii="Arial" w:cs="Arial" w:eastAsia="Arial" w:hAnsi="Arial"/>
          <w:sz w:val="14"/>
          <w:szCs w:val="14"/>
          <w:color w:val="auto"/>
        </w:rPr>
        <w:t xml:space="preserve">potential to be additive or synergistic with standard-of-care therapies to reduce cytokine production, which may improve remission rates and prevent the development of resistance. Finally, the effects of RIPK2 scaffolding inhibition using OD-001 in our preclinical observations to date have been consistent across healthy and diseased human cells, and potency in human cells was observed to be generally consistent with activity in murine cells in vitro,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and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which enables development of </w:t>
      </w:r>
      <w:r>
        <w:rPr>
          <w:rFonts w:ascii="Arial" w:cs="Arial" w:eastAsia="Arial" w:hAnsi="Arial"/>
          <w:sz w:val="14"/>
          <w:szCs w:val="14"/>
          <w:i w:val="1"/>
          <w:iCs w:val="1"/>
          <w:color w:val="auto"/>
        </w:rPr>
        <w:t>in vitro-in vivo</w:t>
      </w:r>
      <w:r>
        <w:rPr>
          <w:rFonts w:ascii="Arial" w:cs="Arial" w:eastAsia="Arial" w:hAnsi="Arial"/>
          <w:sz w:val="14"/>
          <w:szCs w:val="14"/>
          <w:color w:val="auto"/>
        </w:rPr>
        <w:t xml:space="preserve"> correlations to inform dose selection and assessment of a PK-PD relationship in clinical development.</w:t>
      </w:r>
    </w:p>
    <w:p>
      <w:pPr>
        <w:spacing w:after="0" w:line="129" w:lineRule="exact"/>
        <w:rPr>
          <w:sz w:val="20"/>
          <w:szCs w:val="20"/>
          <w:color w:val="auto"/>
        </w:rPr>
      </w:pPr>
    </w:p>
    <w:p>
      <w:pPr>
        <w:ind w:left="640" w:right="699" w:firstLine="516"/>
        <w:spacing w:after="0" w:line="241" w:lineRule="auto"/>
        <w:rPr>
          <w:sz w:val="20"/>
          <w:szCs w:val="20"/>
          <w:color w:val="auto"/>
        </w:rPr>
      </w:pPr>
      <w:r>
        <w:rPr>
          <w:rFonts w:ascii="Arial" w:cs="Arial" w:eastAsia="Arial" w:hAnsi="Arial"/>
          <w:sz w:val="14"/>
          <w:szCs w:val="14"/>
          <w:color w:val="auto"/>
        </w:rPr>
        <w:t>As part of our preclinical development, we conducted a study where we stimulated human monocytes or a human NOD2 reporter cell line with a NOD2 agonist and treated either with OD-001 or the active metabolite of GSK2983559, a RIPK2 kinase inhibitor that was discovered by GSK plc, which we refer to as RIPK2 Kinase Inhibitor 1, to measure potential differences in impact on RIPK2 inhibition. The structure of GSK2983559 and the active metabolite were described in the article titled “</w:t>
      </w:r>
      <w:r>
        <w:rPr>
          <w:rFonts w:ascii="Arial" w:cs="Arial" w:eastAsia="Arial" w:hAnsi="Arial"/>
          <w:sz w:val="14"/>
          <w:szCs w:val="14"/>
          <w:i w:val="1"/>
          <w:iCs w:val="1"/>
          <w:color w:val="auto"/>
        </w:rPr>
        <w:t>Discovery of a First-in-Class Receptor Interacting Protein 2 (RIP2) Kinase Specific Clinical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Candidate, 2-((4-(Benzo[d]thiazol-5-ylamino)-6-(tert-butylsulfonyl)quinazolin-7-yl)oxy)ethyl Dihydrogen Phosphate, for the Treatment of Inflammatory Diseases” </w:t>
      </w:r>
      <w:r>
        <w:rPr>
          <w:rFonts w:ascii="Arial" w:cs="Arial" w:eastAsia="Arial" w:hAnsi="Arial"/>
          <w:sz w:val="14"/>
          <w:szCs w:val="14"/>
          <w:color w:val="auto"/>
        </w:rPr>
        <w:t>published in Volume 62, Issue 14 of the Journal of Medicinal Chemistry.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comparisons and results described below using the RIPK2 kinase inhibitor may differ in material ways from third-party studies that use such inhibitor. In our study comparing OD-001 and RIPK2 Kinase Inhibitor 1, we observed differentiation of our scaffolding approach on RIPK2 activation (ubiquitination) and on multiple downstream steps indicative of RIPK2</w:t>
      </w:r>
    </w:p>
    <w:p>
      <w:pPr>
        <w:spacing w:after="0" w:line="6" w:lineRule="exact"/>
        <w:rPr>
          <w:sz w:val="20"/>
          <w:szCs w:val="20"/>
          <w:color w:val="auto"/>
        </w:rPr>
      </w:pPr>
    </w:p>
    <w:p>
      <w:pPr>
        <w:ind w:left="640" w:right="679"/>
        <w:spacing w:after="0" w:line="239" w:lineRule="auto"/>
        <w:rPr>
          <w:sz w:val="20"/>
          <w:szCs w:val="20"/>
          <w:color w:val="auto"/>
        </w:rPr>
      </w:pPr>
      <w:r>
        <w:rPr>
          <w:rFonts w:ascii="Arial" w:cs="Arial" w:eastAsia="Arial" w:hAnsi="Arial"/>
          <w:sz w:val="14"/>
          <w:szCs w:val="14"/>
          <w:color w:val="auto"/>
        </w:rPr>
        <w:t>pathway activity (e.g., NF-</w:t>
      </w:r>
      <w:r>
        <w:rPr>
          <w:rFonts w:ascii="Times New Roman" w:cs="Times New Roman" w:eastAsia="Times New Roman" w:hAnsi="Times New Roman"/>
          <w:sz w:val="17"/>
          <w:szCs w:val="17"/>
          <w:color w:val="auto"/>
        </w:rPr>
        <w:t>κ</w:t>
      </w:r>
      <w:r>
        <w:rPr>
          <w:rFonts w:ascii="Arial" w:cs="Arial" w:eastAsia="Arial" w:hAnsi="Arial"/>
          <w:sz w:val="14"/>
          <w:szCs w:val="14"/>
          <w:color w:val="auto"/>
        </w:rPr>
        <w:t>B activation, measured by degradation of I</w:t>
      </w:r>
      <w:r>
        <w:rPr>
          <w:rFonts w:ascii="Times New Roman" w:cs="Times New Roman" w:eastAsia="Times New Roman" w:hAnsi="Times New Roman"/>
          <w:sz w:val="17"/>
          <w:szCs w:val="17"/>
          <w:color w:val="auto"/>
        </w:rPr>
        <w:t>κ</w:t>
      </w:r>
      <w:r>
        <w:rPr>
          <w:rFonts w:ascii="Arial" w:cs="Arial" w:eastAsia="Arial" w:hAnsi="Arial"/>
          <w:sz w:val="14"/>
          <w:szCs w:val="14"/>
          <w:color w:val="auto"/>
        </w:rPr>
        <w:t>B</w:t>
      </w:r>
      <w:r>
        <w:rPr>
          <w:rFonts w:ascii="Times New Roman" w:cs="Times New Roman" w:eastAsia="Times New Roman" w:hAnsi="Times New Roman"/>
          <w:sz w:val="14"/>
          <w:szCs w:val="14"/>
          <w:color w:val="auto"/>
        </w:rPr>
        <w:t>a</w:t>
      </w:r>
      <w:r>
        <w:rPr>
          <w:rFonts w:ascii="Arial" w:cs="Arial" w:eastAsia="Arial" w:hAnsi="Arial"/>
          <w:sz w:val="14"/>
          <w:szCs w:val="14"/>
          <w:color w:val="auto"/>
        </w:rPr>
        <w:t>, and phosphorylation of p38 and JNK) from RIPK2 Kinase Inhibitor 1 under the same conditions. The graphics below illustrate the results from our study. As set forth below, we observed a blockade of downstream activation steps by scaffolding inhibition but not kinase inhibition at concentrations of 33 nM and above. Even at concentrations up to 1,000 nM, the kinase inhibitor did not show greater than</w:t>
      </w:r>
    </w:p>
    <w:p>
      <w:pPr>
        <w:ind w:left="640"/>
        <w:spacing w:after="0"/>
        <w:rPr>
          <w:sz w:val="20"/>
          <w:szCs w:val="20"/>
          <w:color w:val="auto"/>
        </w:rPr>
      </w:pPr>
      <w:r>
        <w:rPr>
          <w:rFonts w:ascii="Arial" w:cs="Arial" w:eastAsia="Arial" w:hAnsi="Arial"/>
          <w:sz w:val="14"/>
          <w:szCs w:val="14"/>
          <w:color w:val="auto"/>
        </w:rPr>
        <w:t>50% inhibition of NF-</w:t>
      </w:r>
      <w:r>
        <w:rPr>
          <w:rFonts w:ascii="Times New Roman" w:cs="Times New Roman" w:eastAsia="Times New Roman" w:hAnsi="Times New Roman"/>
          <w:sz w:val="17"/>
          <w:szCs w:val="17"/>
          <w:color w:val="auto"/>
        </w:rPr>
        <w:t>κ</w:t>
      </w:r>
      <w:r>
        <w:rPr>
          <w:rFonts w:ascii="Arial" w:cs="Arial" w:eastAsia="Arial" w:hAnsi="Arial"/>
          <w:sz w:val="14"/>
          <w:szCs w:val="14"/>
          <w:color w:val="auto"/>
        </w:rPr>
        <w:t>B, a transcription factor believed to play a key role in inflammatory processes.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OD-001 Scaffolding Inhibition Reduced RIPK2 Activation (Ubiquitination) for Downstream Signaling (NF-</w:t>
      </w:r>
      <w:r>
        <w:rPr>
          <w:rFonts w:ascii="Times New Roman" w:cs="Times New Roman" w:eastAsia="Times New Roman" w:hAnsi="Times New Roman"/>
          <w:sz w:val="17"/>
          <w:szCs w:val="17"/>
          <w:color w:val="auto"/>
        </w:rPr>
        <w:t>κ</w:t>
      </w:r>
      <w:r>
        <w:rPr>
          <w:rFonts w:ascii="Arial" w:cs="Arial" w:eastAsia="Arial" w:hAnsi="Arial"/>
          <w:sz w:val="14"/>
          <w:szCs w:val="14"/>
          <w:b w:val="1"/>
          <w:bCs w:val="1"/>
          <w:color w:val="auto"/>
        </w:rPr>
        <w:t>B, p38,</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123190</wp:posOffset>
            </wp:positionV>
            <wp:extent cx="4692015" cy="20116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9201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640" w:right="679"/>
        <w:spacing w:after="0" w:line="245" w:lineRule="auto"/>
        <w:rPr>
          <w:sz w:val="20"/>
          <w:szCs w:val="20"/>
          <w:color w:val="auto"/>
        </w:rPr>
      </w:pPr>
      <w:r>
        <w:rPr>
          <w:rFonts w:ascii="Arial" w:cs="Arial" w:eastAsia="Arial" w:hAnsi="Arial"/>
          <w:sz w:val="14"/>
          <w:szCs w:val="14"/>
          <w:i w:val="1"/>
          <w:iCs w:val="1"/>
          <w:color w:val="auto"/>
        </w:rPr>
        <w:t>Left panel: Activated human macrophages were stimulated with the PGN fragment L18-MDP, a NOD2 agonist, for 30 minutes. RIPK2 ubiquitination was measured by immunoprecipitation of total ubiquitinated proteins using a ubiquitin-specific antibody (anti-FK2) followed by detection of RIPK2 by immunoblot. RIPK2 pathway activation was then assessed</w:t>
      </w:r>
    </w:p>
    <w:p>
      <w:pPr>
        <w:jc w:val="center"/>
        <w:ind w:left="640" w:right="699"/>
        <w:spacing w:after="0" w:line="246" w:lineRule="auto"/>
        <w:rPr>
          <w:sz w:val="20"/>
          <w:szCs w:val="20"/>
          <w:color w:val="auto"/>
        </w:rPr>
      </w:pPr>
      <w:r>
        <w:rPr>
          <w:rFonts w:ascii="Arial" w:cs="Arial" w:eastAsia="Arial" w:hAnsi="Arial"/>
          <w:sz w:val="14"/>
          <w:szCs w:val="14"/>
          <w:i w:val="1"/>
          <w:iCs w:val="1"/>
          <w:color w:val="auto"/>
        </w:rPr>
        <w:t>by measuring phosphorylation, a measure of cell signaling, of p38, phosphorylation of JNK, and degradation of I</w:t>
      </w:r>
      <w:r>
        <w:rPr>
          <w:rFonts w:ascii="Times New Roman" w:cs="Times New Roman" w:eastAsia="Times New Roman" w:hAnsi="Times New Roman"/>
          <w:sz w:val="17"/>
          <w:szCs w:val="17"/>
          <w:i w:val="1"/>
          <w:iCs w:val="1"/>
          <w:color w:val="auto"/>
        </w:rPr>
        <w:t>κ</w:t>
      </w:r>
      <w:r>
        <w:rPr>
          <w:rFonts w:ascii="Arial" w:cs="Arial" w:eastAsia="Arial" w:hAnsi="Arial"/>
          <w:sz w:val="14"/>
          <w:szCs w:val="14"/>
          <w:i w:val="1"/>
          <w:iCs w:val="1"/>
          <w:color w:val="auto"/>
        </w:rPr>
        <w:t>B</w:t>
      </w:r>
      <w:r>
        <w:rPr>
          <w:rFonts w:ascii="Times New Roman" w:cs="Times New Roman" w:eastAsia="Times New Roman" w:hAnsi="Times New Roman"/>
          <w:sz w:val="14"/>
          <w:szCs w:val="14"/>
          <w:color w:val="auto"/>
        </w:rPr>
        <w:t>a</w:t>
      </w:r>
      <w:r>
        <w:rPr>
          <w:rFonts w:ascii="Arial" w:cs="Arial" w:eastAsia="Arial" w:hAnsi="Arial"/>
          <w:sz w:val="14"/>
          <w:szCs w:val="14"/>
          <w:i w:val="1"/>
          <w:iCs w:val="1"/>
          <w:color w:val="auto"/>
        </w:rPr>
        <w:t>± using immunoblot of indicated proteins in whole cell lysate. Data from a single representative experiment shown above; RIPK2 ubiquitination was observed in two independent experiments and RIPK2 pathway activation was observed in three independent experiments.</w:t>
      </w:r>
    </w:p>
    <w:p>
      <w:pPr>
        <w:spacing w:after="0" w:line="56" w:lineRule="exact"/>
        <w:rPr>
          <w:sz w:val="20"/>
          <w:szCs w:val="20"/>
          <w:color w:val="auto"/>
        </w:rPr>
      </w:pPr>
    </w:p>
    <w:p>
      <w:pPr>
        <w:jc w:val="center"/>
        <w:ind w:left="640" w:right="679"/>
        <w:spacing w:after="0" w:line="279" w:lineRule="auto"/>
        <w:rPr>
          <w:sz w:val="20"/>
          <w:szCs w:val="20"/>
          <w:color w:val="auto"/>
        </w:rPr>
      </w:pPr>
      <w:r>
        <w:rPr>
          <w:rFonts w:ascii="Arial" w:cs="Arial" w:eastAsia="Arial" w:hAnsi="Arial"/>
          <w:sz w:val="14"/>
          <w:szCs w:val="14"/>
          <w:i w:val="1"/>
          <w:iCs w:val="1"/>
          <w:color w:val="auto"/>
        </w:rPr>
        <w:t>Right panel: HEK-Blue hNOD2 reporter cells were stimulated with the PGN fragment L18-MDP, a NOD2 agonist, for 24 hours. Average dose-response curves for OD-001 (n=3) and RIPK2 Kinase Inhibitor 1 (n=2) shown.</w:t>
      </w:r>
    </w:p>
    <w:p>
      <w:pPr>
        <w:spacing w:after="0" w:line="32" w:lineRule="exact"/>
        <w:rPr>
          <w:sz w:val="20"/>
          <w:szCs w:val="20"/>
          <w:color w:val="auto"/>
        </w:rPr>
      </w:pPr>
    </w:p>
    <w:p>
      <w:pPr>
        <w:ind w:left="640" w:right="679" w:firstLine="443"/>
        <w:spacing w:after="0" w:line="282" w:lineRule="auto"/>
        <w:rPr>
          <w:sz w:val="20"/>
          <w:szCs w:val="20"/>
          <w:color w:val="auto"/>
        </w:rPr>
      </w:pPr>
      <w:r>
        <w:rPr>
          <w:rFonts w:ascii="Arial" w:cs="Arial" w:eastAsia="Arial" w:hAnsi="Arial"/>
          <w:sz w:val="14"/>
          <w:szCs w:val="14"/>
          <w:color w:val="auto"/>
        </w:rPr>
        <w:t>In another preclinical study, we observed OD-001 to achieve greater maximal inhibition of disease-relevant cytokines (TNF, TL1A, and IL-23) than RIPK2 Kinase Inhibitor 1 in human macrophages stimulated with PGN. The graphs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4" w:name="page115"/>
    <w:bookmarkEnd w:id="11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719"/>
        <w:spacing w:after="0" w:line="261" w:lineRule="auto"/>
        <w:rPr>
          <w:sz w:val="20"/>
          <w:szCs w:val="20"/>
          <w:color w:val="auto"/>
        </w:rPr>
      </w:pPr>
      <w:r>
        <w:rPr>
          <w:rFonts w:ascii="Arial" w:cs="Arial" w:eastAsia="Arial" w:hAnsi="Arial"/>
          <w:sz w:val="14"/>
          <w:szCs w:val="14"/>
          <w:color w:val="auto"/>
        </w:rPr>
        <w:t>below show the levels of cytokine inhibition observed following dosing with OD-001 and RIPK2 Kinase Inhibitor 1. These graphs support our hypothesis that changing the structure of RIPK2 by blocking XIAP from binding inhibits the production of downstream proinflammatory cytokines more effectively than RIPK2 Kinase Inhibitor 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OD-001 Treatment Resulted in Greater Cytokine Inhibition as Compared to Kinase Inhibition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132080</wp:posOffset>
            </wp:positionV>
            <wp:extent cx="4678045" cy="1684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78045"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640" w:right="679"/>
        <w:spacing w:after="0" w:line="259" w:lineRule="auto"/>
        <w:rPr>
          <w:sz w:val="20"/>
          <w:szCs w:val="20"/>
          <w:color w:val="auto"/>
        </w:rPr>
      </w:pPr>
      <w:r>
        <w:rPr>
          <w:rFonts w:ascii="Arial" w:cs="Arial" w:eastAsia="Arial" w:hAnsi="Arial"/>
          <w:sz w:val="14"/>
          <w:szCs w:val="14"/>
          <w:i w:val="1"/>
          <w:iCs w:val="1"/>
          <w:color w:val="auto"/>
        </w:rPr>
        <w:t>Activated human macrophages were stimulated with the PGN fragment L18-MDP, a NOD2 agonist, for 24 hours. Average dose-response curves of OD-001 (n=3) and RIPK2 Kinase Inhibitor 1 (n=3) for inhibition of TNF, TL1A, and IL-23 shown. Average data shown as mean ± standard error of the mean.</w:t>
      </w:r>
    </w:p>
    <w:p>
      <w:pPr>
        <w:spacing w:after="0" w:line="46" w:lineRule="exact"/>
        <w:rPr>
          <w:sz w:val="20"/>
          <w:szCs w:val="20"/>
          <w:color w:val="auto"/>
        </w:rPr>
      </w:pPr>
    </w:p>
    <w:p>
      <w:pPr>
        <w:jc w:val="both"/>
        <w:ind w:left="640" w:right="739" w:firstLine="443"/>
        <w:spacing w:after="0" w:line="232" w:lineRule="auto"/>
        <w:rPr>
          <w:sz w:val="20"/>
          <w:szCs w:val="20"/>
          <w:color w:val="auto"/>
        </w:rPr>
      </w:pPr>
      <w:r>
        <w:rPr>
          <w:rFonts w:ascii="Arial" w:cs="Arial" w:eastAsia="Arial" w:hAnsi="Arial"/>
          <w:sz w:val="14"/>
          <w:szCs w:val="14"/>
          <w:color w:val="auto"/>
        </w:rPr>
        <w:t>We believe OD-001 has the potential to be a potent and selective inhibitor of PGN-induced cytokine production. In another study comparing the effect of OD-001 on TNF production from three off-target innate immune receptors—TLR5, TLR4, and TLR2—we did not observe any effect of OD-001 on TLR-induced signaling at concentrations greater than 100 times the EC</w:t>
      </w:r>
      <w:r>
        <w:rPr>
          <w:rFonts w:ascii="Arial" w:cs="Arial" w:eastAsia="Arial" w:hAnsi="Arial"/>
          <w:sz w:val="19"/>
          <w:szCs w:val="19"/>
          <w:color w:val="auto"/>
          <w:vertAlign w:val="subscript"/>
        </w:rPr>
        <w:t>90</w:t>
      </w:r>
      <w:r>
        <w:rPr>
          <w:rFonts w:ascii="Arial" w:cs="Arial" w:eastAsia="Arial" w:hAnsi="Arial"/>
          <w:sz w:val="14"/>
          <w:szCs w:val="14"/>
          <w:color w:val="auto"/>
        </w:rPr>
        <w:t>, a concentration to achieve 90% inhibition effect, for PGN-mediated TNF production. We believe that this</w:t>
      </w:r>
    </w:p>
    <w:p>
      <w:pPr>
        <w:spacing w:after="0" w:line="2" w:lineRule="exact"/>
        <w:rPr>
          <w:sz w:val="20"/>
          <w:szCs w:val="20"/>
          <w:color w:val="auto"/>
        </w:rPr>
      </w:pPr>
    </w:p>
    <w:p>
      <w:pPr>
        <w:ind w:left="640" w:right="759"/>
        <w:spacing w:after="0" w:line="244" w:lineRule="auto"/>
        <w:rPr>
          <w:sz w:val="20"/>
          <w:szCs w:val="20"/>
          <w:color w:val="auto"/>
        </w:rPr>
      </w:pPr>
      <w:r>
        <w:rPr>
          <w:rFonts w:ascii="Arial" w:cs="Arial" w:eastAsia="Arial" w:hAnsi="Arial"/>
          <w:sz w:val="14"/>
          <w:szCs w:val="14"/>
          <w:color w:val="auto"/>
        </w:rPr>
        <w:t>selectivity can prevent adverse immunosuppression, allowing cells to respond to other pathogenic bacteria and prevent increased infection risk. The charts below show results from this study using the indicated agonist. At OD-001 concentrations of less than 10 nM, we observed 100% inhibition of TNF from PGN, whereas at concentrations approximately 100 times higher, 1000 nM, we observed no significant inhibition of TNF from activators of other innate immune receptors, suggesting highly potent and selective activity of OD-001 for only NOD1 or NOD2-mediated signaling from PGN.</w:t>
      </w:r>
    </w:p>
    <w:p>
      <w:pPr>
        <w:spacing w:after="0" w:line="142" w:lineRule="exact"/>
        <w:rPr>
          <w:sz w:val="20"/>
          <w:szCs w:val="20"/>
          <w:color w:val="auto"/>
        </w:rPr>
      </w:pPr>
    </w:p>
    <w:p>
      <w:pPr>
        <w:jc w:val="center"/>
        <w:ind w:left="640" w:right="679"/>
        <w:spacing w:after="0" w:line="291" w:lineRule="auto"/>
        <w:rPr>
          <w:sz w:val="20"/>
          <w:szCs w:val="20"/>
          <w:color w:val="auto"/>
        </w:rPr>
      </w:pPr>
      <w:r>
        <w:rPr>
          <w:rFonts w:ascii="Arial" w:cs="Arial" w:eastAsia="Arial" w:hAnsi="Arial"/>
          <w:sz w:val="14"/>
          <w:szCs w:val="14"/>
          <w:b w:val="1"/>
          <w:bCs w:val="1"/>
          <w:color w:val="auto"/>
        </w:rPr>
        <w:t>OD-001 Was Highly Selective—Capable of Inhibiting TNF from NOD2 Agonism (On-Target) While Sparing TNF Production from Off-Target Immune Receptors (TLR5, TLR4, and TLR2)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88900</wp:posOffset>
            </wp:positionV>
            <wp:extent cx="4678045" cy="1438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78045"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640" w:right="699"/>
        <w:spacing w:after="0" w:line="259" w:lineRule="auto"/>
        <w:rPr>
          <w:sz w:val="20"/>
          <w:szCs w:val="20"/>
          <w:color w:val="auto"/>
        </w:rPr>
      </w:pPr>
      <w:r>
        <w:rPr>
          <w:rFonts w:ascii="Arial" w:cs="Arial" w:eastAsia="Arial" w:hAnsi="Arial"/>
          <w:sz w:val="14"/>
          <w:szCs w:val="14"/>
          <w:i w:val="1"/>
          <w:iCs w:val="1"/>
          <w:color w:val="auto"/>
        </w:rPr>
        <w:t>Human monocytes were stimulated with the indicated agonist for 24 hours. Dose-response curve of OD-001 for inhibition of TNF following stimulation with the PGN fragment L18-MDP (n=7), flagellin (n=4), LPS (n=4), or Pam3CSK4 (n=4) shown. Average data shown as mean ± standard error of the mean.</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5" w:name="page116"/>
    <w:bookmarkEnd w:id="11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Given the safety profile of OD-001 we observed in preclinical studies, we believe that it has the potential to be combined with standard-of-care therapies targeting the adaptive immune system to produce greater therapeutic results for patients. Similar to the effect of RIPK2 inhibition on the exaggerated innate immune response to multiple microbial ligands, we believe RIPK2 can also modulate the exaggerated response observed when TNF is activated alongside PGN. In addition, we observed in a study that while monotherapy treatment of RIPK2 or TNF-blocking agents have similar effects on IL-6 levels in murine lamina propria mononuclear cells, or LPMCs, which are mucosal membrane cells in mice, the combination of both reduces IL-6 activation to unstimulated levels.</w:t>
      </w:r>
    </w:p>
    <w:p>
      <w:pPr>
        <w:spacing w:after="0" w:line="5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The graphs below show the effect we observed on IL-6 levels in human monocytes stimulated with TNF or PGN or a combination of both and exposed to 100 nM of OD-001 and murine LPMCs stimulated with phorbol 12-myristate 13-acetate, or PMA, ionomycin, and PGN to mimic the simultaneous activation of the adaptive and innate immune systems. The elevated levels of IL-6 we observed when stimulated by PGN and TNF aligns with our belief of the dual roles of RIPK2 as a signal transducer and amplifier. We believe the significant decrease in IL-6 levels observed from OD-001 alone in the human model and OD-001 both alone and with a TNF blocker, anti-mouse TNF</w:t>
      </w: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manufactured by Bio X Cell (catalog number BE0058), in the murine model suggests RIPK2 inhibition is important in reducing proinflammatory cytokines.</w:t>
      </w:r>
    </w:p>
    <w:p>
      <w:pPr>
        <w:spacing w:after="0" w:line="306" w:lineRule="exact"/>
        <w:rPr>
          <w:sz w:val="20"/>
          <w:szCs w:val="20"/>
          <w:color w:val="auto"/>
        </w:rPr>
      </w:pPr>
    </w:p>
    <w:p>
      <w:pPr>
        <w:jc w:val="center"/>
        <w:ind w:left="640" w:right="679"/>
        <w:spacing w:after="0" w:line="291" w:lineRule="auto"/>
        <w:rPr>
          <w:sz w:val="20"/>
          <w:szCs w:val="20"/>
          <w:color w:val="auto"/>
        </w:rPr>
      </w:pPr>
      <w:r>
        <w:rPr>
          <w:rFonts w:ascii="Arial" w:cs="Arial" w:eastAsia="Arial" w:hAnsi="Arial"/>
          <w:sz w:val="14"/>
          <w:szCs w:val="14"/>
          <w:b w:val="1"/>
          <w:bCs w:val="1"/>
          <w:color w:val="auto"/>
        </w:rPr>
        <w:t>Treatment with OD-001 Reduced IL-6 Levels in PGN- and TNF-Stimulated Human Monocytes and in Combination with TNF Blocker (Anti-TNF) in Murine LPMC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88900</wp:posOffset>
            </wp:positionV>
            <wp:extent cx="4418965" cy="24822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418965" cy="248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40" w:right="699"/>
        <w:spacing w:after="0" w:line="253" w:lineRule="auto"/>
        <w:rPr>
          <w:sz w:val="20"/>
          <w:szCs w:val="20"/>
          <w:color w:val="auto"/>
        </w:rPr>
      </w:pPr>
      <w:r>
        <w:rPr>
          <w:rFonts w:ascii="Arial" w:cs="Arial" w:eastAsia="Arial" w:hAnsi="Arial"/>
          <w:sz w:val="14"/>
          <w:szCs w:val="14"/>
          <w:i w:val="1"/>
          <w:iCs w:val="1"/>
          <w:color w:val="auto"/>
        </w:rPr>
        <w:t>Left panel: Human monocytes were stimulated for 24 hours by PGN fragment L18-MDP, a NOD2 agonist, or recombinant human TNF, or a combination of both. Data is pooled from 13 individual donors and shown as mean ± standard error of the mean. Statistical significance was calculated in GraphPad Prism 10.2.3 using one-way ANOVA; ** = p &lt; 0.01; *** = p &lt; 0.001; n.s. = not significant.</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Right panel: Murine LPMCs isolated from inflamed colons of 3% DSS mice (n=10) and activated in vitro with a</w:t>
      </w:r>
    </w:p>
    <w:p>
      <w:pPr>
        <w:spacing w:after="0" w:line="12" w:lineRule="exact"/>
        <w:rPr>
          <w:sz w:val="20"/>
          <w:szCs w:val="20"/>
          <w:color w:val="auto"/>
        </w:rPr>
      </w:pPr>
    </w:p>
    <w:p>
      <w:pPr>
        <w:jc w:val="center"/>
        <w:ind w:left="640" w:right="679"/>
        <w:spacing w:after="0" w:line="250" w:lineRule="auto"/>
        <w:rPr>
          <w:sz w:val="20"/>
          <w:szCs w:val="20"/>
          <w:color w:val="auto"/>
        </w:rPr>
      </w:pPr>
      <w:r>
        <w:rPr>
          <w:rFonts w:ascii="Arial" w:cs="Arial" w:eastAsia="Arial" w:hAnsi="Arial"/>
          <w:sz w:val="14"/>
          <w:szCs w:val="14"/>
          <w:i w:val="1"/>
          <w:iCs w:val="1"/>
          <w:color w:val="auto"/>
        </w:rPr>
        <w:t>combination of the PGN fragment C12-iE-DAP (NOD1 agonist), PMA, and ionomycin. Data from a single representative experiment shown above as mean ± standard deviation; a total of three individual experiments were performed. Statistical significance was calculated in GraphPad Prism 10.2.3 using one-way ANOVA; **** = p &lt; 0.0001.</w:t>
      </w:r>
    </w:p>
    <w:p>
      <w:pPr>
        <w:spacing w:after="0" w:line="52" w:lineRule="exact"/>
        <w:rPr>
          <w:sz w:val="20"/>
          <w:szCs w:val="20"/>
          <w:color w:val="auto"/>
        </w:rPr>
      </w:pPr>
    </w:p>
    <w:p>
      <w:pPr>
        <w:jc w:val="both"/>
        <w:ind w:left="640" w:right="739" w:firstLine="443"/>
        <w:spacing w:after="0" w:line="254" w:lineRule="auto"/>
        <w:rPr>
          <w:sz w:val="20"/>
          <w:szCs w:val="20"/>
          <w:color w:val="auto"/>
        </w:rPr>
      </w:pPr>
      <w:r>
        <w:rPr>
          <w:rFonts w:ascii="Arial" w:cs="Arial" w:eastAsia="Arial" w:hAnsi="Arial"/>
          <w:sz w:val="14"/>
          <w:szCs w:val="14"/>
          <w:color w:val="auto"/>
        </w:rPr>
        <w:t>We have also observed this synergy in combination with other standard-of-care therapies for IBD. For example, in one of our preclinical studies where we combined OD-001 and upadacitinib, an approved JAK inhibitor, we observed that the combination had the potential to not only deepen activity of either agent alone, but to reduce inflammation to baseline or below, as seen with IL-6 and IFN</w:t>
      </w:r>
      <w:r>
        <w:rPr>
          <w:rFonts w:ascii="Times New Roman" w:cs="Times New Roman" w:eastAsia="Times New Roman" w:hAnsi="Times New Roman"/>
          <w:sz w:val="14"/>
          <w:szCs w:val="14"/>
          <w:color w:val="auto"/>
        </w:rPr>
        <w:t>g</w:t>
      </w:r>
      <w:r>
        <w:rPr>
          <w:rFonts w:ascii="Arial" w:cs="Arial" w:eastAsia="Arial" w:hAnsi="Arial"/>
          <w:sz w:val="14"/>
          <w:szCs w:val="14"/>
          <w:color w:val="auto"/>
        </w:rPr>
        <w:t xml:space="preserve"> in the below graphs.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6" w:name="page117"/>
    <w:bookmarkEnd w:id="11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640" w:right="679"/>
        <w:spacing w:after="0" w:line="309" w:lineRule="auto"/>
        <w:rPr>
          <w:sz w:val="20"/>
          <w:szCs w:val="20"/>
          <w:color w:val="auto"/>
        </w:rPr>
      </w:pPr>
      <w:r>
        <w:rPr>
          <w:rFonts w:ascii="Arial" w:cs="Arial" w:eastAsia="Arial" w:hAnsi="Arial"/>
          <w:sz w:val="14"/>
          <w:szCs w:val="14"/>
          <w:b w:val="1"/>
          <w:bCs w:val="1"/>
          <w:color w:val="auto"/>
        </w:rPr>
        <w:t>Treatment with OD-001 Reduced IL-6 and IFN</w:t>
      </w:r>
      <w:r>
        <w:rPr>
          <w:rFonts w:ascii="Times New Roman" w:cs="Times New Roman" w:eastAsia="Times New Roman" w:hAnsi="Times New Roman"/>
          <w:sz w:val="14"/>
          <w:szCs w:val="14"/>
          <w:b w:val="1"/>
          <w:bCs w:val="1"/>
          <w:color w:val="auto"/>
        </w:rPr>
        <w:t>g</w:t>
      </w:r>
      <w:r>
        <w:rPr>
          <w:rFonts w:ascii="Arial" w:cs="Arial" w:eastAsia="Arial" w:hAnsi="Arial"/>
          <w:sz w:val="14"/>
          <w:szCs w:val="14"/>
          <w:b w:val="1"/>
          <w:bCs w:val="1"/>
          <w:color w:val="auto"/>
        </w:rPr>
        <w:t xml:space="preserve"> Levels in PMA-, Ionomycin-, and PGN-Stimulated Murine Models Both as Monotherapy and in Combination with a JAK Inhibitor (JAKi)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81280</wp:posOffset>
            </wp:positionV>
            <wp:extent cx="4548505" cy="23596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48505" cy="2359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right="679"/>
        <w:spacing w:after="0" w:line="253" w:lineRule="auto"/>
        <w:rPr>
          <w:sz w:val="20"/>
          <w:szCs w:val="20"/>
          <w:color w:val="auto"/>
        </w:rPr>
      </w:pPr>
      <w:r>
        <w:rPr>
          <w:rFonts w:ascii="Arial" w:cs="Arial" w:eastAsia="Arial" w:hAnsi="Arial"/>
          <w:sz w:val="14"/>
          <w:szCs w:val="14"/>
          <w:i w:val="1"/>
          <w:iCs w:val="1"/>
          <w:color w:val="auto"/>
        </w:rPr>
        <w:t>Murine LPMCs isolated from inflamed colons of 3% DSS mice (n=10) and activated in vitro with a combination of the PGN fragment C12-iE-DAP (NOD1 agonist), PMA, and ionomycin. Data from a single representative experiment shown above as mean ± standard deviation; a total of three individual experiments were performed. Statistical significance was calculated in GraphPad Prism 10.2.3 using one-way ANOVA; * = p &lt; 0.05; ** = p &lt; 0.01; **** = p &lt; 0.0001.</w:t>
      </w:r>
    </w:p>
    <w:p>
      <w:pPr>
        <w:spacing w:after="0" w:line="49" w:lineRule="exact"/>
        <w:rPr>
          <w:sz w:val="20"/>
          <w:szCs w:val="20"/>
          <w:color w:val="auto"/>
        </w:rPr>
      </w:pPr>
    </w:p>
    <w:p>
      <w:pPr>
        <w:ind w:left="640" w:right="719" w:firstLine="438"/>
        <w:spacing w:after="0" w:line="250" w:lineRule="auto"/>
        <w:rPr>
          <w:sz w:val="20"/>
          <w:szCs w:val="20"/>
          <w:color w:val="auto"/>
        </w:rPr>
      </w:pPr>
      <w:r>
        <w:rPr>
          <w:rFonts w:ascii="Arial" w:cs="Arial" w:eastAsia="Arial" w:hAnsi="Arial"/>
          <w:sz w:val="14"/>
          <w:szCs w:val="14"/>
          <w:color w:val="auto"/>
        </w:rPr>
        <w:t xml:space="preserve">The mechanisms of action of certain other approved drugs for IBD, including vedolizumab, do not translate to effects in the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model systems described above for TNF blockers and JAK inhibitors. Specifically, the mechanism of action of vedolizumab requires that the drug blocks the recruitment of T cells from circulation into the intestinal tissue, which cannot be recapitulated in this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model. As a result, we have not similarly tested OD-001 in certain other combinations, including with vedolizumab.</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Translational Data</w:t>
      </w:r>
    </w:p>
    <w:p>
      <w:pPr>
        <w:spacing w:after="0" w:line="84" w:lineRule="exact"/>
        <w:rPr>
          <w:sz w:val="20"/>
          <w:szCs w:val="20"/>
          <w:color w:val="auto"/>
        </w:rPr>
      </w:pPr>
    </w:p>
    <w:p>
      <w:pPr>
        <w:ind w:left="640" w:right="759" w:firstLine="443"/>
        <w:spacing w:after="0" w:line="226" w:lineRule="auto"/>
        <w:rPr>
          <w:sz w:val="20"/>
          <w:szCs w:val="20"/>
          <w:color w:val="auto"/>
        </w:rPr>
      </w:pPr>
      <w:r>
        <w:rPr>
          <w:rFonts w:ascii="Arial" w:cs="Arial" w:eastAsia="Arial" w:hAnsi="Arial"/>
          <w:sz w:val="14"/>
          <w:szCs w:val="14"/>
          <w:color w:val="auto"/>
        </w:rPr>
        <w:t>To assess the potency of RIPK2 inhibition across human cells, we selected a panel of different immune cells from healthy donors, including macrophages, monocytes, and dendritic cells, and observed similar potency (0.5–2.0 nM IC</w:t>
      </w:r>
      <w:r>
        <w:rPr>
          <w:rFonts w:ascii="Arial" w:cs="Arial" w:eastAsia="Arial" w:hAnsi="Arial"/>
          <w:sz w:val="19"/>
          <w:szCs w:val="19"/>
          <w:color w:val="auto"/>
          <w:vertAlign w:val="subscript"/>
        </w:rPr>
        <w:t>50</w:t>
      </w:r>
      <w:r>
        <w:rPr>
          <w:rFonts w:ascii="Arial" w:cs="Arial" w:eastAsia="Arial" w:hAnsi="Arial"/>
          <w:sz w:val="14"/>
          <w:szCs w:val="14"/>
          <w:color w:val="auto"/>
        </w:rPr>
        <w:t>,</w:t>
      </w:r>
    </w:p>
    <w:p>
      <w:pPr>
        <w:ind w:left="640" w:right="679"/>
        <w:spacing w:after="0" w:line="250" w:lineRule="auto"/>
        <w:rPr>
          <w:sz w:val="20"/>
          <w:szCs w:val="20"/>
          <w:color w:val="auto"/>
        </w:rPr>
      </w:pPr>
      <w:r>
        <w:rPr>
          <w:rFonts w:ascii="Arial" w:cs="Arial" w:eastAsia="Arial" w:hAnsi="Arial"/>
          <w:sz w:val="14"/>
          <w:szCs w:val="14"/>
          <w:color w:val="auto"/>
        </w:rPr>
        <w:t>the measure of the concentration required to inhibit a process by 50%, for TNF production) across each type of cell following stimulation with PGN. We believe this consistency suggests that there will be predictable target coverage across RIPK2-expressing cells relevant to disease.</w:t>
      </w:r>
    </w:p>
    <w:p>
      <w:pPr>
        <w:spacing w:after="0" w:line="52" w:lineRule="exact"/>
        <w:rPr>
          <w:sz w:val="20"/>
          <w:szCs w:val="20"/>
          <w:color w:val="auto"/>
        </w:rPr>
      </w:pPr>
    </w:p>
    <w:p>
      <w:pPr>
        <w:ind w:left="640" w:right="659" w:firstLine="443"/>
        <w:spacing w:after="0" w:line="232" w:lineRule="auto"/>
        <w:rPr>
          <w:sz w:val="20"/>
          <w:szCs w:val="20"/>
          <w:color w:val="auto"/>
        </w:rPr>
      </w:pPr>
      <w:r>
        <w:rPr>
          <w:rFonts w:ascii="Arial" w:cs="Arial" w:eastAsia="Arial" w:hAnsi="Arial"/>
          <w:sz w:val="14"/>
          <w:szCs w:val="14"/>
          <w:color w:val="auto"/>
        </w:rPr>
        <w:t>Thereafter, to assess the potency of RIPK2 inhibition in human cells relevant to IBD, we isolated LPMCs from colon tissue biopsies of patients with Crohn’s disease who had either not received advanced therapies or were resistant to such therapies. Similar to the experimental design in healthy human immune cells, we exposed the Crohn’s disease patients’ LPMCs to PGN after treatment with OD-001 and observed an IC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for TNF production of approximately 1 nM with</w:t>
      </w:r>
    </w:p>
    <w:p>
      <w:pPr>
        <w:spacing w:after="0" w:line="2" w:lineRule="exact"/>
        <w:rPr>
          <w:sz w:val="20"/>
          <w:szCs w:val="20"/>
          <w:color w:val="auto"/>
        </w:rPr>
      </w:pPr>
    </w:p>
    <w:p>
      <w:pPr>
        <w:ind w:left="640" w:right="1199"/>
        <w:spacing w:after="0" w:line="261" w:lineRule="auto"/>
        <w:rPr>
          <w:sz w:val="20"/>
          <w:szCs w:val="20"/>
          <w:color w:val="auto"/>
        </w:rPr>
      </w:pPr>
      <w:r>
        <w:rPr>
          <w:rFonts w:ascii="Arial" w:cs="Arial" w:eastAsia="Arial" w:hAnsi="Arial"/>
          <w:sz w:val="14"/>
          <w:szCs w:val="14"/>
          <w:color w:val="auto"/>
        </w:rPr>
        <w:t>inhibition greater than 80% in both groups. We believe these results suggest RIPK2 inhibition may be a promising treatment option for both newly diagnosed and refractory IBD patients.</w:t>
      </w:r>
    </w:p>
    <w:p>
      <w:pPr>
        <w:spacing w:after="0" w:line="4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The table to the left below lists the observed potency of OD-001 at inhibiting TNF production across a number of relevant cell types. The graph to the right below illustrates the TNF inhibition we observed in LPMCs from colon tissue taken from representative Crohn’s disease patients with active disease after we treated such LPMCs with OD-001 prior to stimulation with PGN fragment for 72 hours. Two samples were from patients who had no known treatment with anti-TNF drugs and four were from patients who were anti-TNF drug resistant. We observed that the LPMCs from both anti-TNF naïve and anti-TNF resistant patients were sensitive to RIPK2 inhibition.</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7" w:name="page118"/>
    <w:bookmarkEnd w:id="11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OD-001 Was a Potent Inhibitor of TNF Across Cells of Anti-TNF Resistant and Naïve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132080</wp:posOffset>
            </wp:positionV>
            <wp:extent cx="4909820" cy="2209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09820"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640" w:right="659"/>
        <w:spacing w:after="0" w:line="259" w:lineRule="auto"/>
        <w:rPr>
          <w:sz w:val="20"/>
          <w:szCs w:val="20"/>
          <w:color w:val="auto"/>
        </w:rPr>
      </w:pPr>
      <w:r>
        <w:rPr>
          <w:rFonts w:ascii="Arial" w:cs="Arial" w:eastAsia="Arial" w:hAnsi="Arial"/>
          <w:sz w:val="14"/>
          <w:szCs w:val="14"/>
          <w:i w:val="1"/>
          <w:iCs w:val="1"/>
          <w:color w:val="auto"/>
        </w:rPr>
        <w:t>Human LPMCs isolated from inflamed resected intestinal tissue from Crohn’s disease patients and stimulated for 72 hours by the PGN fragment L18-MDP, a NOD2 agonist. Dose-response curve of OD-001 for inhibition of TNF in anti-TNF resistant (n=4) or anti-TNF naïve (n=2) shown. Average data shown as mean ± standard error of the mean.</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 Vivo Murine Models</w:t>
      </w:r>
    </w:p>
    <w:p>
      <w:pPr>
        <w:spacing w:after="0" w:line="84" w:lineRule="exact"/>
        <w:rPr>
          <w:sz w:val="20"/>
          <w:szCs w:val="20"/>
          <w:color w:val="auto"/>
        </w:rPr>
      </w:pPr>
    </w:p>
    <w:p>
      <w:pPr>
        <w:ind w:left="640" w:right="679" w:firstLine="438"/>
        <w:spacing w:after="0" w:line="248" w:lineRule="auto"/>
        <w:rPr>
          <w:sz w:val="20"/>
          <w:szCs w:val="20"/>
          <w:color w:val="auto"/>
        </w:rPr>
      </w:pPr>
      <w:r>
        <w:rPr>
          <w:rFonts w:ascii="Arial" w:cs="Arial" w:eastAsia="Arial" w:hAnsi="Arial"/>
          <w:sz w:val="14"/>
          <w:szCs w:val="14"/>
          <w:color w:val="auto"/>
        </w:rPr>
        <w:t>Given the complex and heterogenous nature of human IBD, we do not believe that any single preclinical model has emerged as being strongly predictive for human efficacy or for providing a comparison of the therapeutic potential of different compounds or mechanisms. However, there are three preclinical models where approved cytokine therapies have been observed to be active and where we believe a genetic link to RIPK2 has been suggested through siRNA or gene knockout. We, and others, have similarly observed that the pharmacologic inhibition of RIPK2 is effective on one or more measures of disease in each of these models.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8" w:name="page119"/>
    <w:bookmarkEnd w:id="11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59" w:firstLine="438"/>
        <w:spacing w:after="0" w:line="282" w:lineRule="auto"/>
        <w:rPr>
          <w:sz w:val="20"/>
          <w:szCs w:val="20"/>
          <w:color w:val="auto"/>
        </w:rPr>
      </w:pPr>
      <w:r>
        <w:rPr>
          <w:rFonts w:ascii="Arial" w:cs="Arial" w:eastAsia="Arial" w:hAnsi="Arial"/>
          <w:sz w:val="14"/>
          <w:szCs w:val="14"/>
          <w:color w:val="auto"/>
        </w:rPr>
        <w:t>The table below sets forth these three models and their microbiota, genetic, or pharmacologic link to RIPK2 inhibition, and the approved agents that have also demonstrated the potential translatability of these results to humans.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Comparison of Murine Model Responses Across RIPK2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132080</wp:posOffset>
            </wp:positionV>
            <wp:extent cx="3211830" cy="1786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11830" cy="178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Note: Activity of anti-IL-23 and anti-TNF has been shown in the TNBS murine model, which is similar to DNBS.</w:t>
      </w:r>
    </w:p>
    <w:p>
      <w:pPr>
        <w:spacing w:after="0" w:line="84" w:lineRule="exact"/>
        <w:rPr>
          <w:sz w:val="20"/>
          <w:szCs w:val="20"/>
          <w:color w:val="auto"/>
        </w:rPr>
      </w:pPr>
    </w:p>
    <w:p>
      <w:pPr>
        <w:ind w:left="640" w:right="679" w:firstLine="438"/>
        <w:spacing w:after="0" w:line="246" w:lineRule="auto"/>
        <w:rPr>
          <w:sz w:val="20"/>
          <w:szCs w:val="20"/>
          <w:color w:val="auto"/>
        </w:rPr>
      </w:pPr>
      <w:r>
        <w:rPr>
          <w:rFonts w:ascii="Arial" w:cs="Arial" w:eastAsia="Arial" w:hAnsi="Arial"/>
          <w:sz w:val="14"/>
          <w:szCs w:val="14"/>
          <w:color w:val="auto"/>
        </w:rPr>
        <w:t>Two of these models, T-bet-/- RAG2-/- UC, or TRUC, and SAMP1/YitFc, have been shown to be microbiota dependent. Boehringer Ingelheim published positive results in 2021 using their RIPK2 scaffolding inhibitor in the TRUC model, which is characterized by microbe -driven inflammation of the large intestine. Given the activity observed with their RIPK2 inhibitor in that model, we elected to test a close analog of OD-001 in the SAMP1/YitFc model, which is characterized by spontaneous inflammation of the small intestines and where activity has been observed with anti-TNF therapy. In this model, we observed a statistically significant reduction in TNF gene expression in the intestine and, more importantly, a significant reduction in the histology score in the intestine, which we believe is a more accurate assessment of disease activity than cytokine production since it captures cellular and structural changes in the intestine.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9" w:name="page120"/>
    <w:bookmarkEnd w:id="11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719" w:firstLine="438"/>
        <w:spacing w:after="0" w:line="254" w:lineRule="auto"/>
        <w:rPr>
          <w:sz w:val="20"/>
          <w:szCs w:val="20"/>
          <w:color w:val="auto"/>
        </w:rPr>
      </w:pPr>
      <w:r>
        <w:rPr>
          <w:rFonts w:ascii="Arial" w:cs="Arial" w:eastAsia="Arial" w:hAnsi="Arial"/>
          <w:sz w:val="14"/>
          <w:szCs w:val="14"/>
          <w:color w:val="auto"/>
        </w:rPr>
        <w:t>The graphs below show the reduction in TNF levels and reduced histology score we observed from our preclinical study described above. In the study, we treated age-matched SAMP1/YitFc mice (7-8-weeks old) daily with 200 mg/kg of a close analog of OD-001 or with a control vehicle for 8 weeks, after which TNF gene expression and intestinal pathology were assessed.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Treatment of Mice with OD-001 Analog Observed to Reduce TNF Production and Severity of Ileitis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132080</wp:posOffset>
            </wp:positionV>
            <wp:extent cx="3607435" cy="19227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07435" cy="192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640" w:right="699"/>
        <w:spacing w:after="0" w:line="253" w:lineRule="auto"/>
        <w:rPr>
          <w:sz w:val="20"/>
          <w:szCs w:val="20"/>
          <w:color w:val="auto"/>
        </w:rPr>
      </w:pPr>
      <w:r>
        <w:rPr>
          <w:rFonts w:ascii="Arial" w:cs="Arial" w:eastAsia="Arial" w:hAnsi="Arial"/>
          <w:sz w:val="14"/>
          <w:szCs w:val="14"/>
          <w:i w:val="1"/>
          <w:iCs w:val="1"/>
          <w:color w:val="auto"/>
        </w:rPr>
        <w:t>Left figure presents TNF fold-change based on the relative RNA expression compared to age-matched non-disease animals in vehicle group (n=9) and RIPK2 treatment group (n=15). Right figure presents total histology score in vehicle group (n=10) and RIPK2 treatment group (n=15). Statistical significance was calculated in GraphPad Prism 10.2.3 using unpaired t-test; * = p &lt; 0.05; *** = p &lt; 0.001.</w:t>
      </w:r>
    </w:p>
    <w:p>
      <w:pPr>
        <w:spacing w:after="0" w:line="49" w:lineRule="exact"/>
        <w:rPr>
          <w:sz w:val="20"/>
          <w:szCs w:val="20"/>
          <w:color w:val="auto"/>
        </w:rPr>
      </w:pPr>
    </w:p>
    <w:p>
      <w:pPr>
        <w:ind w:left="640" w:right="659" w:firstLine="438"/>
        <w:spacing w:after="0" w:line="244" w:lineRule="auto"/>
        <w:rPr>
          <w:sz w:val="20"/>
          <w:szCs w:val="20"/>
          <w:color w:val="auto"/>
        </w:rPr>
      </w:pPr>
      <w:r>
        <w:rPr>
          <w:rFonts w:ascii="Arial" w:cs="Arial" w:eastAsia="Arial" w:hAnsi="Arial"/>
          <w:sz w:val="14"/>
          <w:szCs w:val="14"/>
          <w:color w:val="auto"/>
        </w:rPr>
        <w:t>To test the relationship between PK and PD effect (e.g., reduction of cytokine production systemically and in the colon), we used a PGN-stimulation PK/PD model. In this model, we dosed mice with OD-001 ranging from 100-300 mg/kg, which achieved trough concentrations of OD-001 of 1-10 nM in the blood, and—at the time the trough concentration was measured—we administered the PGN stimulus. We observed reductions in TNF in the plasma and in colon tissue following PGN stimulation in mice treated with OD-001. The graphs below show the statistically significant reduction of TNF levels in the plasma and colon tissue of the mice observed following OD-001 doses greater than or equal to 100 mg/kg. The figure to the right shows that doses of OD-001 equal to or greater than 100 mg/kg were observed to achieve trough concentrations of OD-001 that were greater than 1 nM in plasma. The observations from this preclinical study further support our belief that RIPK2 inhibition with OD-001 has the potential to significantly reduce signaling leading to TNF production, which we believe is a key mediator of inflammatory damage in IBD patients.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0" w:name="page121"/>
    <w:bookmarkEnd w:id="12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640" w:right="679"/>
        <w:spacing w:after="0" w:line="291" w:lineRule="auto"/>
        <w:rPr>
          <w:sz w:val="20"/>
          <w:szCs w:val="20"/>
          <w:color w:val="auto"/>
        </w:rPr>
      </w:pPr>
      <w:r>
        <w:rPr>
          <w:rFonts w:ascii="Arial" w:cs="Arial" w:eastAsia="Arial" w:hAnsi="Arial"/>
          <w:sz w:val="14"/>
          <w:szCs w:val="14"/>
          <w:b w:val="1"/>
          <w:bCs w:val="1"/>
          <w:color w:val="auto"/>
        </w:rPr>
        <w:t>OD-001 Treatment Led to Dose-Dependent Reduction in TNF Expression in Plasma and Colon Tissue in Murine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88900</wp:posOffset>
            </wp:positionV>
            <wp:extent cx="4739640" cy="22434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39640"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640" w:right="699"/>
        <w:spacing w:after="0" w:line="246" w:lineRule="auto"/>
        <w:rPr>
          <w:sz w:val="20"/>
          <w:szCs w:val="20"/>
          <w:color w:val="auto"/>
        </w:rPr>
      </w:pPr>
      <w:r>
        <w:rPr>
          <w:rFonts w:ascii="Arial" w:cs="Arial" w:eastAsia="Arial" w:hAnsi="Arial"/>
          <w:sz w:val="14"/>
          <w:szCs w:val="14"/>
          <w:i w:val="1"/>
          <w:iCs w:val="1"/>
          <w:color w:val="auto"/>
        </w:rPr>
        <w:t>Each dot represents an individual mouse, excluding identified outliers. For plasma samples, group sizes are as follows: control (n=4), vehicle (n=8), 1 mg/kg OD-001 (n=9), 10 mg/kg OD-001 (n=9), 100 mg/kg OD -001 (n=8), and 300 mg/kg OD-001 (n=9). For colon tissue samples group, sizes are as follows: control (n=4), vehicle (n=10), 1 mg/kg OD-001 (n=10), 10 mg/kg OD-001 (n=10), 100 mg/kg OD-001 (n=10), and 300 mg/kg OD-001 (n=10). Identification of outliers within groups was performed using the GraphPad Prism “Identify Outlier” function, applying Method “ROUT,” and setting the remove outlier parameter at Q = 1%. Data shown as mean ± standard error of the mean. Statistical significance was calculated in GraphPad Prism 10.2.3 using one-way ANOVA; ** = p &lt; 0.01; **** = p &lt; 0.0001.</w:t>
      </w:r>
    </w:p>
    <w:p>
      <w:pPr>
        <w:spacing w:after="0" w:line="56" w:lineRule="exact"/>
        <w:rPr>
          <w:sz w:val="20"/>
          <w:szCs w:val="20"/>
          <w:color w:val="auto"/>
        </w:rPr>
      </w:pPr>
    </w:p>
    <w:p>
      <w:pPr>
        <w:ind w:left="640" w:right="739" w:firstLine="438"/>
        <w:spacing w:after="0" w:line="250" w:lineRule="auto"/>
        <w:rPr>
          <w:sz w:val="20"/>
          <w:szCs w:val="20"/>
          <w:color w:val="auto"/>
        </w:rPr>
      </w:pPr>
      <w:r>
        <w:rPr>
          <w:rFonts w:ascii="Arial" w:cs="Arial" w:eastAsia="Arial" w:hAnsi="Arial"/>
          <w:sz w:val="14"/>
          <w:szCs w:val="14"/>
          <w:color w:val="auto"/>
        </w:rPr>
        <w:t xml:space="preserve">We then integrated the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PGN-challenge model with an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PGN-challenge model. In the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PGN-challenge model, we dosed mice and then drew their blood approximately three hours later. The blood was subsequently stimulated with PGN and we assessed TNF levels approximately four hours later. The aim of this study was to determine if results in the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stimulation assay would be similar to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results. We observed a similar relationship between cytokine inhibition and potency between the models, with free drug levels of 1.5-2 nM inhibiting TNF production by 50%.</w:t>
      </w:r>
    </w:p>
    <w:p>
      <w:pPr>
        <w:spacing w:after="0" w:line="53" w:lineRule="exact"/>
        <w:rPr>
          <w:sz w:val="20"/>
          <w:szCs w:val="20"/>
          <w:color w:val="auto"/>
        </w:rPr>
      </w:pPr>
    </w:p>
    <w:p>
      <w:pPr>
        <w:ind w:left="640" w:right="679" w:firstLine="438"/>
        <w:spacing w:after="0" w:line="236" w:lineRule="auto"/>
        <w:rPr>
          <w:sz w:val="20"/>
          <w:szCs w:val="20"/>
          <w:color w:val="auto"/>
        </w:rPr>
      </w:pPr>
      <w:r>
        <w:rPr>
          <w:rFonts w:ascii="Arial" w:cs="Arial" w:eastAsia="Arial" w:hAnsi="Arial"/>
          <w:sz w:val="14"/>
          <w:szCs w:val="14"/>
          <w:color w:val="auto"/>
        </w:rPr>
        <w:t xml:space="preserve">The concentrations required in these two murine models for inhibition were also similar to the concentration required for 50% target inhibition in human whole blood (0.2 nM free drug), suggesting concordance between the murine in vivo and ex vivo results and concentrations required for similar effect in human cells. We believe these data support the use of an in vitro human whole blood assay in our phase 1 healthy participant trial to predict the dose required for a desired level of RIPK2 inhibition and to inform dose selection for subsequent clinical trials in IBD patients. The illustration to the left below summarizes the design of both the preclinical in vivo PGN-challenge model and the preclinical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PGN-challenge model. The graph to the right below illustrates the increasing level of TNF inhibition at higher concentrations of OD-001, and the table below sets forth the observed total and free drug potency in vitro with human blood, and in vivo and ex vivo using mouse blood as reflected by IC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and IC</w:t>
      </w:r>
      <w:r>
        <w:rPr>
          <w:rFonts w:ascii="Arial" w:cs="Arial" w:eastAsia="Arial" w:hAnsi="Arial"/>
          <w:sz w:val="19"/>
          <w:szCs w:val="19"/>
          <w:color w:val="auto"/>
          <w:vertAlign w:val="subscript"/>
        </w:rPr>
        <w:t>90</w:t>
      </w:r>
      <w:r>
        <w:rPr>
          <w:rFonts w:ascii="Arial" w:cs="Arial" w:eastAsia="Arial" w:hAnsi="Arial"/>
          <w:sz w:val="14"/>
          <w:szCs w:val="14"/>
          <w:color w:val="auto"/>
        </w:rPr>
        <w:t xml:space="preserve"> values, which represent 50 and 90%</w:t>
      </w:r>
    </w:p>
    <w:p>
      <w:pPr>
        <w:spacing w:after="0" w:line="4" w:lineRule="exact"/>
        <w:rPr>
          <w:sz w:val="20"/>
          <w:szCs w:val="20"/>
          <w:color w:val="auto"/>
        </w:rPr>
      </w:pPr>
    </w:p>
    <w:p>
      <w:pPr>
        <w:ind w:left="640" w:right="679"/>
        <w:spacing w:after="0" w:line="261" w:lineRule="auto"/>
        <w:rPr>
          <w:sz w:val="20"/>
          <w:szCs w:val="20"/>
          <w:color w:val="auto"/>
        </w:rPr>
      </w:pPr>
      <w:r>
        <w:rPr>
          <w:rFonts w:ascii="Arial" w:cs="Arial" w:eastAsia="Arial" w:hAnsi="Arial"/>
          <w:sz w:val="14"/>
          <w:szCs w:val="14"/>
          <w:color w:val="auto"/>
        </w:rPr>
        <w:t xml:space="preserve">inhibition, respectively. The concordance across the measured values suggests an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stimulation assay may be used in clinical development to inform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cytokine inhibition.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1" w:name="page122"/>
    <w:bookmarkEnd w:id="12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 xml:space="preserve">In Vivo </w:t>
      </w:r>
      <w:r>
        <w:rPr>
          <w:rFonts w:ascii="Arial" w:cs="Arial" w:eastAsia="Arial" w:hAnsi="Arial"/>
          <w:sz w:val="14"/>
          <w:szCs w:val="14"/>
          <w:b w:val="1"/>
          <w:bCs w:val="1"/>
          <w:color w:val="auto"/>
        </w:rPr>
        <w:t>and</w:t>
      </w:r>
      <w:r>
        <w:rPr>
          <w:rFonts w:ascii="Arial" w:cs="Arial" w:eastAsia="Arial" w:hAnsi="Arial"/>
          <w:sz w:val="14"/>
          <w:szCs w:val="14"/>
          <w:b w:val="1"/>
          <w:bCs w:val="1"/>
          <w:i w:val="1"/>
          <w:iCs w:val="1"/>
          <w:color w:val="auto"/>
        </w:rPr>
        <w:t xml:space="preserve"> Ex Vivo </w:t>
      </w:r>
      <w:r>
        <w:rPr>
          <w:rFonts w:ascii="Arial" w:cs="Arial" w:eastAsia="Arial" w:hAnsi="Arial"/>
          <w:sz w:val="14"/>
          <w:szCs w:val="14"/>
          <w:b w:val="1"/>
          <w:bCs w:val="1"/>
          <w:color w:val="auto"/>
        </w:rPr>
        <w:t>Murine Challenge Model Design and Results, and Human In Vitro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132080</wp:posOffset>
            </wp:positionV>
            <wp:extent cx="4909820" cy="23526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09820" cy="235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640" w:right="679"/>
        <w:spacing w:after="0" w:line="245" w:lineRule="auto"/>
        <w:rPr>
          <w:sz w:val="20"/>
          <w:szCs w:val="20"/>
          <w:color w:val="auto"/>
        </w:rPr>
      </w:pPr>
      <w:r>
        <w:rPr>
          <w:rFonts w:ascii="Arial" w:cs="Arial" w:eastAsia="Arial" w:hAnsi="Arial"/>
          <w:sz w:val="14"/>
          <w:szCs w:val="14"/>
          <w:i w:val="1"/>
          <w:iCs w:val="1"/>
          <w:color w:val="auto"/>
        </w:rPr>
        <w:t>In the dose response curves, each dot represents an individual mouse excluding identified outliers. In vivo data is pooled from six independent studies with TNF inhibition shown for 212 mice. Ex vivo data is pooled from two independent studies with TNF inhibition shown for 48 mice. The dose-response curves were overlayed and analyzed in GraphPad Prism 9.2 by nonlinear regression using the “log(inhibitor) as compared to normalized response—Variable slope” function with the constraint that Hill slope &gt; 1. Identification of outliers within groups was performed using the GraphPad Prism “Identify Outlier” function and applying Method “ROUT,” and setting the remove outlier parameter at Q = 1%. Human whole blood was stimulated with the PGN fragment L18-MDP, a NOD2 agonist, for 24 hours and TNF inhibition by OD-001 was evaluated. Data shown as the geometric mean +/- standard error of the mean from 34 healthy donors.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OD-001 Phase 1 Clinical Trial</w:t>
      </w:r>
    </w:p>
    <w:p>
      <w:pPr>
        <w:spacing w:after="0" w:line="84" w:lineRule="exact"/>
        <w:rPr>
          <w:sz w:val="20"/>
          <w:szCs w:val="20"/>
          <w:color w:val="auto"/>
        </w:rPr>
      </w:pPr>
    </w:p>
    <w:p>
      <w:pPr>
        <w:ind w:left="640" w:right="799" w:firstLine="438"/>
        <w:spacing w:after="0" w:line="250" w:lineRule="auto"/>
        <w:rPr>
          <w:sz w:val="20"/>
          <w:szCs w:val="20"/>
          <w:color w:val="auto"/>
        </w:rPr>
      </w:pPr>
      <w:r>
        <w:rPr>
          <w:rFonts w:ascii="Arial" w:cs="Arial" w:eastAsia="Arial" w:hAnsi="Arial"/>
          <w:sz w:val="14"/>
          <w:szCs w:val="14"/>
          <w:color w:val="auto"/>
        </w:rPr>
        <w:t xml:space="preserve">Our phase 1 clinical trial in healthy participants assessed OD-001 in a four-part, double-blind trial designed to investigate safety, tolerability, PK, and PD with single ascending doses (SAD, part one) and multiple ascending doses once or twice daily for 14 days (MAD, part two). Parts three and four of the trial were designed to investigate food-effect and potential for drug-drug interactions, or DDI, respectively. Exploratory endpoints included an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PGN stimulation assay using whole blood to determine PD effects.</w:t>
      </w:r>
    </w:p>
    <w:p>
      <w:pPr>
        <w:spacing w:after="0" w:line="53" w:lineRule="exact"/>
        <w:rPr>
          <w:sz w:val="20"/>
          <w:szCs w:val="20"/>
          <w:color w:val="auto"/>
        </w:rPr>
      </w:pPr>
    </w:p>
    <w:p>
      <w:pPr>
        <w:jc w:val="both"/>
        <w:ind w:left="640" w:right="719" w:firstLine="438"/>
        <w:spacing w:after="0" w:line="247" w:lineRule="auto"/>
        <w:rPr>
          <w:sz w:val="20"/>
          <w:szCs w:val="20"/>
          <w:color w:val="auto"/>
        </w:rPr>
      </w:pPr>
      <w:r>
        <w:rPr>
          <w:rFonts w:ascii="Arial" w:cs="Arial" w:eastAsia="Arial" w:hAnsi="Arial"/>
          <w:sz w:val="14"/>
          <w:szCs w:val="14"/>
          <w:color w:val="auto"/>
        </w:rPr>
        <w:t>The SAD cohorts received doses from 3 to 200 mg. The MAD cohorts received doses from 10 mg once daily up to 50 mg twice daily, or BID. SAD and MAD cohorts each consisted of eight participants with six receiving OD-001 and two receiving placebo. Food effect was tested and there was no difference in PK observed between fasted and fed states.</w:t>
      </w:r>
    </w:p>
    <w:p>
      <w:pPr>
        <w:ind w:left="640" w:right="839"/>
        <w:spacing w:after="0" w:line="261" w:lineRule="auto"/>
        <w:rPr>
          <w:sz w:val="20"/>
          <w:szCs w:val="20"/>
          <w:color w:val="auto"/>
        </w:rPr>
      </w:pPr>
      <w:r>
        <w:rPr>
          <w:rFonts w:ascii="Arial" w:cs="Arial" w:eastAsia="Arial" w:hAnsi="Arial"/>
          <w:sz w:val="14"/>
          <w:szCs w:val="14"/>
          <w:color w:val="auto"/>
        </w:rPr>
        <w:t>Potential for DDI that could change midazolam exposure was tested and no significant changes in midazolam exposure were observed. In total, 81 participants received OD-001 and 20 received placebo.</w:t>
      </w:r>
    </w:p>
    <w:p>
      <w:pPr>
        <w:spacing w:after="0" w:line="44"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Safety assessments were completed across all parts of this clinical trial. All dose levels were generally well tolerated with no SAEs, dose-limiting toxicities, or suspected unexpected serious adverse reactions, or SUSARs. In addition, no clinically significant or abnormal findings related to OD-001 were identified by electrocardiogram, or ECG. The majority of treatment-emergent adverse events, or TEAEs, among participants who received OD-001 or placebo were classified as grade 1 (mild). In total, 52% of OD-001-treated participants had any TEAEs compared to 60% of placebo-treated participants.</w:t>
      </w:r>
    </w:p>
    <w:p>
      <w:pPr>
        <w:spacing w:after="0" w:line="54" w:lineRule="exact"/>
        <w:rPr>
          <w:sz w:val="20"/>
          <w:szCs w:val="20"/>
          <w:color w:val="auto"/>
        </w:rPr>
      </w:pPr>
    </w:p>
    <w:p>
      <w:pPr>
        <w:ind w:left="640" w:right="659" w:firstLine="438"/>
        <w:spacing w:after="0" w:line="261" w:lineRule="auto"/>
        <w:rPr>
          <w:sz w:val="20"/>
          <w:szCs w:val="20"/>
          <w:color w:val="auto"/>
        </w:rPr>
      </w:pPr>
      <w:r>
        <w:rPr>
          <w:rFonts w:ascii="Arial" w:cs="Arial" w:eastAsia="Arial" w:hAnsi="Arial"/>
          <w:sz w:val="14"/>
          <w:szCs w:val="14"/>
          <w:color w:val="auto"/>
        </w:rPr>
        <w:t>The table below summarizes TEAEs classified as either grade 2 (moderate) or grade 3 (severe) that were identified in participants treated with OD-001 (n=7) and if they were deemed to be treatment-related adverse events, or TRAEs. None of the TEAEs caused dosing to be interrupted or caused participants to be discontinued from the study. All of the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2" w:name="page123"/>
    <w:bookmarkEnd w:id="12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82" w:lineRule="auto"/>
        <w:rPr>
          <w:sz w:val="20"/>
          <w:szCs w:val="20"/>
          <w:color w:val="auto"/>
        </w:rPr>
      </w:pPr>
      <w:r>
        <w:rPr>
          <w:rFonts w:ascii="Arial" w:cs="Arial" w:eastAsia="Arial" w:hAnsi="Arial"/>
          <w:sz w:val="14"/>
          <w:szCs w:val="14"/>
          <w:color w:val="auto"/>
        </w:rPr>
        <w:t>grade 2 TEAEs reported in the 200 mg SAD cohort were identified in one participant who was subsequently found to have undiagnosed hyperglycemia, suggestive of underlying pre-diabetes.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76200</wp:posOffset>
            </wp:positionV>
            <wp:extent cx="4834890" cy="2345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34890" cy="234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40" w:right="859" w:firstLine="443"/>
        <w:spacing w:after="0" w:line="248" w:lineRule="auto"/>
        <w:rPr>
          <w:sz w:val="20"/>
          <w:szCs w:val="20"/>
          <w:color w:val="auto"/>
        </w:rPr>
      </w:pPr>
      <w:r>
        <w:rPr>
          <w:rFonts w:ascii="Arial" w:cs="Arial" w:eastAsia="Arial" w:hAnsi="Arial"/>
          <w:sz w:val="14"/>
          <w:szCs w:val="14"/>
          <w:color w:val="auto"/>
        </w:rPr>
        <w:t>The most common grade 2 or higher TEAE observed was neutrophil count decrease, which we believe is an on-target effect linked to a potential reduction in IL-1ß signaling caused by RIPK2 inhibition. IL-1ß signaling blockade is expected to lower neutrophil counts based on similar findings reported in clinical studies testing the effects of canakinumab, an approved, well-tolerated IL-1ß blocking drug. In participants dosed with OD-001, the nadirs were observed between day six and 14 of dosing; in all participants, dosing continued and, following the nadir, neutrophil counts returned to normal levels, suggesting a homeostatic compensatory mechanism.</w:t>
      </w:r>
    </w:p>
    <w:p>
      <w:pPr>
        <w:spacing w:after="0" w:line="54" w:lineRule="exact"/>
        <w:rPr>
          <w:sz w:val="20"/>
          <w:szCs w:val="20"/>
          <w:color w:val="auto"/>
        </w:rPr>
      </w:pPr>
    </w:p>
    <w:p>
      <w:pPr>
        <w:ind w:left="640" w:right="719" w:firstLine="438"/>
        <w:spacing w:after="0" w:line="250" w:lineRule="auto"/>
        <w:rPr>
          <w:sz w:val="20"/>
          <w:szCs w:val="20"/>
          <w:color w:val="auto"/>
        </w:rPr>
      </w:pPr>
      <w:r>
        <w:rPr>
          <w:rFonts w:ascii="Arial" w:cs="Arial" w:eastAsia="Arial" w:hAnsi="Arial"/>
          <w:sz w:val="14"/>
          <w:szCs w:val="14"/>
          <w:color w:val="auto"/>
        </w:rPr>
        <w:t>The increases in transaminases (ALT and AST) were transient, such that these lab values returned to levels within the normal range. For example, the grade 2 ALT elevation in one participant in the 20 mg BID multiple dose DDI cohort occurred on day six of dosing, with an increase that was 3.7-fold above baseline and 3.0-fold above the upper limit of normal (threshold for grade 2 classification); dosing continued, after which ALT levels decreased and were within the normal range by day 12, and remained in the normal range thereafter.</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PK analysis in the MAD and DDI groups generally shows proportionality of steady-state exposures with dose.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3" w:name="page124"/>
    <w:bookmarkEnd w:id="12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of Pharmacokinetics in MAD and DDI Dose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132080</wp:posOffset>
            </wp:positionV>
            <wp:extent cx="4732655" cy="2468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326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 xml:space="preserve">In this trial, we utilized an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whole blood PGN stimulation assay measuring TNF to confirm target and pathway inhibition. Based on the results from this assay, tolerable doses have been identified that we believe may be potentially efficacious in patients with IBD. In the figure below, the results of the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stimulation assay in participants treated with OD-001 doses of 10-50 mg BID after one and 14 days of dosing are shown. Based on the area under the curve, or AUC, for TNF release at steady state over the 12-hour interval between doses, a dose of 20 mg BID inhibits TNF release by approximately 90%, which is a similar level of inhibition to that observed with the higher doses tested. We believe approximately 90% reduction of TNF identifies a dose expected to be potentially efficacious because this magnitude of reduction was observed in RIPK2 knockout mice that are protected from IBD.</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4" w:name="page125"/>
    <w:bookmarkEnd w:id="12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of Pharmacodynamics in MAD and DDI Dose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132080</wp:posOffset>
            </wp:positionV>
            <wp:extent cx="3907790" cy="27006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0779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679" w:firstLine="516"/>
        <w:spacing w:after="0" w:line="226" w:lineRule="auto"/>
        <w:rPr>
          <w:sz w:val="20"/>
          <w:szCs w:val="20"/>
          <w:color w:val="auto"/>
        </w:rPr>
      </w:pPr>
      <w:r>
        <w:rPr>
          <w:rFonts w:ascii="Arial" w:cs="Arial" w:eastAsia="Arial" w:hAnsi="Arial"/>
          <w:sz w:val="14"/>
          <w:szCs w:val="14"/>
          <w:color w:val="auto"/>
        </w:rPr>
        <w:t>Below we detail the pharmacokinetics of the 10 and 20 mg BID dose in the multiple dose cohorts compared to the concentration to achieve IC</w:t>
      </w:r>
      <w:r>
        <w:rPr>
          <w:rFonts w:ascii="Arial" w:cs="Arial" w:eastAsia="Arial" w:hAnsi="Arial"/>
          <w:sz w:val="19"/>
          <w:szCs w:val="19"/>
          <w:color w:val="auto"/>
          <w:vertAlign w:val="subscript"/>
        </w:rPr>
        <w:t>90</w:t>
      </w:r>
      <w:r>
        <w:rPr>
          <w:rFonts w:ascii="Arial" w:cs="Arial" w:eastAsia="Arial" w:hAnsi="Arial"/>
          <w:sz w:val="14"/>
          <w:szCs w:val="14"/>
          <w:color w:val="auto"/>
        </w:rPr>
        <w:t xml:space="preserve"> coverage which illustrates that the 10 mg BID and 20 mg BID dose would be expected to</w:t>
      </w:r>
    </w:p>
    <w:p>
      <w:pPr>
        <w:ind w:left="640" w:right="919"/>
        <w:spacing w:after="0" w:line="226" w:lineRule="auto"/>
        <w:rPr>
          <w:sz w:val="20"/>
          <w:szCs w:val="20"/>
          <w:color w:val="auto"/>
        </w:rPr>
      </w:pPr>
      <w:r>
        <w:rPr>
          <w:rFonts w:ascii="Arial" w:cs="Arial" w:eastAsia="Arial" w:hAnsi="Arial"/>
          <w:sz w:val="14"/>
          <w:szCs w:val="14"/>
          <w:color w:val="auto"/>
        </w:rPr>
        <w:t>provide potentially efficacious concentration in patients by exceeding the IC</w:t>
      </w:r>
      <w:r>
        <w:rPr>
          <w:rFonts w:ascii="Arial" w:cs="Arial" w:eastAsia="Arial" w:hAnsi="Arial"/>
          <w:sz w:val="19"/>
          <w:szCs w:val="19"/>
          <w:color w:val="auto"/>
          <w:vertAlign w:val="subscript"/>
        </w:rPr>
        <w:t>90</w:t>
      </w:r>
      <w:r>
        <w:rPr>
          <w:rFonts w:ascii="Arial" w:cs="Arial" w:eastAsia="Arial" w:hAnsi="Arial"/>
          <w:sz w:val="14"/>
          <w:szCs w:val="14"/>
          <w:color w:val="auto"/>
        </w:rPr>
        <w:t xml:space="preserve"> for 8 and 10 hours of the 12-hour dosing interval, respectively.</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of Pharmacokinetics vs. Human Whole Blood IC</w:t>
      </w:r>
      <w:r>
        <w:rPr>
          <w:rFonts w:ascii="Arial" w:cs="Arial" w:eastAsia="Arial" w:hAnsi="Arial"/>
          <w:sz w:val="19"/>
          <w:szCs w:val="19"/>
          <w:b w:val="1"/>
          <w:bCs w:val="1"/>
          <w:color w:val="auto"/>
          <w:vertAlign w:val="subscript"/>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121285</wp:posOffset>
            </wp:positionV>
            <wp:extent cx="3512185" cy="1691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12185" cy="169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5" w:name="page126"/>
    <w:bookmarkEnd w:id="12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We selected 20 mg twice daily, or BID, as the maximal dose level to be tested in our phase 2a clinical trial. Based on the 20 mg BID dose and the results from six-month rat and nine-month dog toxicology studies, we project a &gt; 15x AUC</w:t>
      </w:r>
    </w:p>
    <w:p>
      <w:pPr>
        <w:spacing w:after="0" w:line="1" w:lineRule="exact"/>
        <w:rPr>
          <w:sz w:val="20"/>
          <w:szCs w:val="20"/>
          <w:color w:val="auto"/>
        </w:rPr>
      </w:pPr>
    </w:p>
    <w:p>
      <w:pPr>
        <w:ind w:left="640" w:right="879"/>
        <w:spacing w:after="0" w:line="200" w:lineRule="auto"/>
        <w:rPr>
          <w:sz w:val="20"/>
          <w:szCs w:val="20"/>
          <w:color w:val="auto"/>
        </w:rPr>
      </w:pPr>
      <w:r>
        <w:rPr>
          <w:rFonts w:ascii="Arial" w:cs="Arial" w:eastAsia="Arial" w:hAnsi="Arial"/>
          <w:sz w:val="14"/>
          <w:szCs w:val="14"/>
          <w:color w:val="auto"/>
        </w:rPr>
        <w:t>margin and &gt; 10x C</w:t>
      </w:r>
      <w:r>
        <w:rPr>
          <w:rFonts w:ascii="Arial" w:cs="Arial" w:eastAsia="Arial" w:hAnsi="Arial"/>
          <w:sz w:val="19"/>
          <w:szCs w:val="19"/>
          <w:color w:val="auto"/>
          <w:vertAlign w:val="subscript"/>
        </w:rPr>
        <w:t>max</w:t>
      </w:r>
      <w:r>
        <w:rPr>
          <w:rFonts w:ascii="Arial" w:cs="Arial" w:eastAsia="Arial" w:hAnsi="Arial"/>
          <w:sz w:val="14"/>
          <w:szCs w:val="14"/>
          <w:color w:val="auto"/>
        </w:rPr>
        <w:t xml:space="preserve"> margin relative to the no observed adverse effect level, or NOAEL. For the 10 mg BID dose, we project a &gt;26x AUC margin and &gt; 17x C</w:t>
      </w:r>
      <w:r>
        <w:rPr>
          <w:rFonts w:ascii="Arial" w:cs="Arial" w:eastAsia="Arial" w:hAnsi="Arial"/>
          <w:sz w:val="19"/>
          <w:szCs w:val="19"/>
          <w:color w:val="auto"/>
          <w:vertAlign w:val="subscript"/>
        </w:rPr>
        <w:t>max</w:t>
      </w:r>
      <w:r>
        <w:rPr>
          <w:rFonts w:ascii="Arial" w:cs="Arial" w:eastAsia="Arial" w:hAnsi="Arial"/>
          <w:sz w:val="14"/>
          <w:szCs w:val="14"/>
          <w:color w:val="auto"/>
        </w:rPr>
        <w:t xml:space="preserve"> margin relative to the NOAEL. These toxicology results will ultimately be</w:t>
      </w:r>
    </w:p>
    <w:p>
      <w:pPr>
        <w:spacing w:after="0" w:line="1" w:lineRule="exact"/>
        <w:rPr>
          <w:sz w:val="20"/>
          <w:szCs w:val="20"/>
          <w:color w:val="auto"/>
        </w:rPr>
      </w:pPr>
    </w:p>
    <w:p>
      <w:pPr>
        <w:ind w:left="640" w:right="719"/>
        <w:spacing w:after="0" w:line="247" w:lineRule="auto"/>
        <w:rPr>
          <w:sz w:val="20"/>
          <w:szCs w:val="20"/>
          <w:color w:val="auto"/>
        </w:rPr>
      </w:pPr>
      <w:r>
        <w:rPr>
          <w:rFonts w:ascii="Arial" w:cs="Arial" w:eastAsia="Arial" w:hAnsi="Arial"/>
          <w:sz w:val="14"/>
          <w:szCs w:val="14"/>
          <w:color w:val="auto"/>
        </w:rPr>
        <w:t>included in a regulatory submission if OD-001 were to be submitted for approval in the future. For context, the drug approval packages for approved UC therapies, such as upadacitinib, a JAK inhibitor, indicate an approximately two-times margin, and, for ozanimod, a S1P1 inhibitor, indicate a &lt; 10x margin between the AUC at NOAEL in their selected toxicology species and human AUC at their labeled dose.</w:t>
      </w:r>
    </w:p>
    <w:p>
      <w:pPr>
        <w:spacing w:after="0" w:line="200" w:lineRule="exact"/>
        <w:rPr>
          <w:sz w:val="20"/>
          <w:szCs w:val="20"/>
          <w:color w:val="auto"/>
        </w:rPr>
      </w:pPr>
    </w:p>
    <w:p>
      <w:pPr>
        <w:spacing w:after="0" w:line="32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OD-001 Phase 2a Signal-Seeking Trial in Patients with Moderate-to-Severe UC</w:t>
      </w:r>
    </w:p>
    <w:p>
      <w:pPr>
        <w:spacing w:after="0" w:line="84" w:lineRule="exact"/>
        <w:rPr>
          <w:sz w:val="20"/>
          <w:szCs w:val="20"/>
          <w:color w:val="auto"/>
        </w:rPr>
      </w:pPr>
    </w:p>
    <w:p>
      <w:pPr>
        <w:ind w:left="640" w:right="739" w:firstLine="438"/>
        <w:spacing w:after="0" w:line="235" w:lineRule="auto"/>
        <w:rPr>
          <w:sz w:val="20"/>
          <w:szCs w:val="20"/>
          <w:color w:val="auto"/>
        </w:rPr>
      </w:pPr>
      <w:r>
        <w:rPr>
          <w:rFonts w:ascii="Arial" w:cs="Arial" w:eastAsia="Arial" w:hAnsi="Arial"/>
          <w:sz w:val="14"/>
          <w:szCs w:val="14"/>
          <w:color w:val="auto"/>
        </w:rPr>
        <w:t>Our ongoing phase 2a two-part, multicenter trial is designed to assess the safety and efficacy of OD-001 in participants with moderately to severely active UC who have had an inadequate response to conventional therapies such as 5-ASA or methotrexate, steroids, or advanced therapies, such as anti-TNF blocker HUMIRA</w:t>
      </w:r>
      <w:r>
        <w:rPr>
          <w:rFonts w:ascii="Arial" w:cs="Arial" w:eastAsia="Arial" w:hAnsi="Arial"/>
          <w:sz w:val="19"/>
          <w:szCs w:val="19"/>
          <w:color w:val="auto"/>
          <w:vertAlign w:val="superscript"/>
        </w:rPr>
        <w:t>®</w:t>
      </w:r>
      <w:r>
        <w:rPr>
          <w:rFonts w:ascii="Arial" w:cs="Arial" w:eastAsia="Arial" w:hAnsi="Arial"/>
          <w:sz w:val="14"/>
          <w:szCs w:val="14"/>
          <w:color w:val="auto"/>
        </w:rPr>
        <w:t>. Disease severity was assessed at screening based on the modified Mayo clinical score, or MMCS, and inclusion required a Mayo endoscopic score, or MES, of 2-3 (moderate to severe) and a MMCS of 5-9.</w:t>
      </w:r>
    </w:p>
    <w:p>
      <w:pPr>
        <w:spacing w:after="0" w:line="58" w:lineRule="exact"/>
        <w:rPr>
          <w:sz w:val="20"/>
          <w:szCs w:val="20"/>
          <w:color w:val="auto"/>
        </w:rPr>
      </w:pPr>
    </w:p>
    <w:p>
      <w:pPr>
        <w:ind w:left="640" w:right="679" w:firstLine="438"/>
        <w:spacing w:after="0" w:line="244" w:lineRule="auto"/>
        <w:rPr>
          <w:sz w:val="20"/>
          <w:szCs w:val="20"/>
          <w:color w:val="auto"/>
        </w:rPr>
      </w:pPr>
      <w:r>
        <w:rPr>
          <w:rFonts w:ascii="Arial" w:cs="Arial" w:eastAsia="Arial" w:hAnsi="Arial"/>
          <w:sz w:val="14"/>
          <w:szCs w:val="14"/>
          <w:color w:val="auto"/>
        </w:rPr>
        <w:t>Several design and operational elements were incorporated to minimize the potential for placebo effects. First, we worked with a leading IBD-focused clinical research organization, Alimentiv, which has deep experience with trial sites and investigators globally. Second, our clinical development team participated in all site initiations and worked closely with investigators throughout the trial. Third, in collaboration with Alimentiv, we incorporated multiple elements into the trial design, such as requiring objective evidence of active disease at screening, which included centrally read and blinded endoscopic assessments and requiring an endoscopy score of 2 or 3 (indicating moderate or severe disease). Fourth, we assessed validated biomarkers of active intestinal inflammation, such as fecal calprotectin, to confirm active disease in patients. Fifth, we limited concomitant steroid use to a maximum dose of 20 mg of prednisone or equivalent and required the patients to be on a stable dose during the screening and OD-001 induction period. We believe these approaches are consistent with contemporary best practices for executing a well-controlled clinical trial and limiting the potential for placebo effects on efficacy endpoints.</w:t>
      </w:r>
    </w:p>
    <w:p>
      <w:pPr>
        <w:spacing w:after="0" w:line="57" w:lineRule="exact"/>
        <w:rPr>
          <w:sz w:val="20"/>
          <w:szCs w:val="20"/>
          <w:color w:val="auto"/>
        </w:rPr>
      </w:pPr>
    </w:p>
    <w:p>
      <w:pPr>
        <w:ind w:left="640" w:right="679" w:firstLine="438"/>
        <w:spacing w:after="0" w:line="282" w:lineRule="auto"/>
        <w:rPr>
          <w:sz w:val="20"/>
          <w:szCs w:val="20"/>
          <w:color w:val="auto"/>
        </w:rPr>
      </w:pPr>
      <w:r>
        <w:rPr>
          <w:rFonts w:ascii="Arial" w:cs="Arial" w:eastAsia="Arial" w:hAnsi="Arial"/>
          <w:sz w:val="14"/>
          <w:szCs w:val="14"/>
          <w:color w:val="auto"/>
        </w:rPr>
        <w:t>The trial consists of a sequential three-period treatment regimen comprising an OD-001 induction period (period 1), followed by a vedolizumab induction period (period 2) and a vedolizumab maintenance period (period 3).</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Phase 2a Trial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132080</wp:posOffset>
            </wp:positionV>
            <wp:extent cx="4909820" cy="2427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09820" cy="242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right="739" w:firstLine="443"/>
        <w:spacing w:after="0" w:line="282" w:lineRule="auto"/>
        <w:rPr>
          <w:sz w:val="20"/>
          <w:szCs w:val="20"/>
          <w:color w:val="auto"/>
        </w:rPr>
      </w:pPr>
      <w:r>
        <w:rPr>
          <w:rFonts w:ascii="Arial" w:cs="Arial" w:eastAsia="Arial" w:hAnsi="Arial"/>
          <w:sz w:val="14"/>
          <w:szCs w:val="14"/>
          <w:color w:val="auto"/>
        </w:rPr>
        <w:t>Part 1 of the trial was a non-randomized, open-label cohort of eight patients receiving OD-001 at 10 mg BID for 12 weeks. Part 2 included 45 patients randomized in a 1:4 ratio to receive either OD-001 10 mg BID for two weeks followed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6" w:name="page127"/>
    <w:bookmarkEnd w:id="12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779"/>
        <w:spacing w:after="0" w:line="254" w:lineRule="auto"/>
        <w:rPr>
          <w:sz w:val="20"/>
          <w:szCs w:val="20"/>
          <w:color w:val="auto"/>
        </w:rPr>
      </w:pPr>
      <w:r>
        <w:rPr>
          <w:rFonts w:ascii="Arial" w:cs="Arial" w:eastAsia="Arial" w:hAnsi="Arial"/>
          <w:sz w:val="14"/>
          <w:szCs w:val="14"/>
          <w:color w:val="auto"/>
        </w:rPr>
        <w:t>by 20 mg BID for 10 weeks, or OD-001 20 mg BID for 12 weeks. In part 2, participants and investigators were blinded to treatment assignment. Given this was the first trial of OD-001 in patients with active disease, the escalation framework utilized in part 2 was designed to assess a potential tolerability benefit of using an intra-patient dose escalation, if such a framework were to be needed.</w:t>
      </w:r>
    </w:p>
    <w:p>
      <w:pPr>
        <w:spacing w:after="0" w:line="49" w:lineRule="exact"/>
        <w:rPr>
          <w:sz w:val="20"/>
          <w:szCs w:val="20"/>
          <w:color w:val="auto"/>
        </w:rPr>
      </w:pPr>
    </w:p>
    <w:p>
      <w:pPr>
        <w:ind w:left="640" w:right="839" w:firstLine="443"/>
        <w:spacing w:after="0" w:line="246" w:lineRule="auto"/>
        <w:rPr>
          <w:sz w:val="20"/>
          <w:szCs w:val="20"/>
          <w:color w:val="auto"/>
        </w:rPr>
      </w:pPr>
      <w:r>
        <w:rPr>
          <w:rFonts w:ascii="Arial" w:cs="Arial" w:eastAsia="Arial" w:hAnsi="Arial"/>
          <w:sz w:val="14"/>
          <w:szCs w:val="14"/>
          <w:color w:val="auto"/>
        </w:rPr>
        <w:t>The primary endpoint for the trial is change from baseline in MMCS following 12-week induction therapy. The MMCS is a composite score with three components, each graded from 0 to 3: MES, rectal bleeding score, and stool frequency score (the latter two together forming the PRO-2 score). Key secondary and exploratory endpoints include proportion of participants achieving clinical remission, endoscopic improvement, symptomatic improvement, and clinical response. Biopsies collected during endoscopy are used for histological assessments and exploratory biomarker analyses. Blood and stool samples were collected at multiple points in the trial to evaluate inflammatory markers, pharmacokinetics, and exploratory biomarkers. Evaluation of these histologic assessments and exploratory biomarkers are currently ongoing and we expect to share these results at a future medical meeting.</w:t>
      </w:r>
    </w:p>
    <w:p>
      <w:pPr>
        <w:spacing w:after="0" w:line="54"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 xml:space="preserve">In order to demonstrate a change from baseline in the three-component MMCS of 2 points (with an assumed standard deviation of 4 points) using a paired </w:t>
      </w:r>
      <w:r>
        <w:rPr>
          <w:rFonts w:ascii="Arial" w:cs="Arial" w:eastAsia="Arial" w:hAnsi="Arial"/>
          <w:sz w:val="14"/>
          <w:szCs w:val="14"/>
          <w:i w:val="1"/>
          <w:iCs w:val="1"/>
          <w:color w:val="auto"/>
        </w:rPr>
        <w:t>t</w:t>
      </w:r>
      <w:r>
        <w:rPr>
          <w:rFonts w:ascii="Arial" w:cs="Arial" w:eastAsia="Arial" w:hAnsi="Arial"/>
          <w:sz w:val="14"/>
          <w:szCs w:val="14"/>
          <w:color w:val="auto"/>
        </w:rPr>
        <w:t>-test against a null hypothesis of no change, the trial was powered to 90% at the two-sided 5% significance level. In addition to MMCS, we assessed clinical remission rate, and the trial was powered to 82% at the two-sided 10% significance level to detect a ≥ 15% change in clinical remission rate for OD-001 compared to placebo, using a 10% historic placebo rate based on our internal literature meta-analysis and is supported by a third party meta-analyses using individual patient data that was published in Volume 19, Issue 10 of the Journal of Crohn’s and Colitis “</w:t>
      </w:r>
      <w:r>
        <w:rPr>
          <w:rFonts w:ascii="Arial" w:cs="Arial" w:eastAsia="Arial" w:hAnsi="Arial"/>
          <w:sz w:val="14"/>
          <w:szCs w:val="14"/>
          <w:i w:val="1"/>
          <w:iCs w:val="1"/>
          <w:color w:val="auto"/>
        </w:rPr>
        <w:t>Placebo rates in randomized clinical trials of ulcerative colitis: an individual patient data meta-analysis</w:t>
      </w:r>
      <w:r>
        <w:rPr>
          <w:rFonts w:ascii="Arial" w:cs="Arial" w:eastAsia="Arial" w:hAnsi="Arial"/>
          <w:sz w:val="14"/>
          <w:szCs w:val="14"/>
          <w:color w:val="auto"/>
        </w:rPr>
        <w:t>,” which derived a 9% placebo clinical remission rate estimate and a 33% placebo clinical response rate estimate.</w:t>
      </w:r>
    </w:p>
    <w:p>
      <w:pPr>
        <w:spacing w:after="0" w:line="54" w:lineRule="exact"/>
        <w:rPr>
          <w:sz w:val="20"/>
          <w:szCs w:val="20"/>
          <w:color w:val="auto"/>
        </w:rPr>
      </w:pPr>
    </w:p>
    <w:p>
      <w:pPr>
        <w:ind w:left="640" w:right="819" w:firstLine="443"/>
        <w:spacing w:after="0" w:line="261" w:lineRule="auto"/>
        <w:rPr>
          <w:sz w:val="20"/>
          <w:szCs w:val="20"/>
          <w:color w:val="auto"/>
        </w:rPr>
      </w:pPr>
      <w:r>
        <w:rPr>
          <w:rFonts w:ascii="Arial" w:cs="Arial" w:eastAsia="Arial" w:hAnsi="Arial"/>
          <w:sz w:val="14"/>
          <w:szCs w:val="14"/>
          <w:color w:val="auto"/>
        </w:rPr>
        <w:t>A total of 49 patients across part 1 and part 2 have completed 12 weeks of OD-001 induction treatment per protocol. All eight patients enrolled in part 1 completed 12 weeks of treatment with OD-001 per protocol. In part 2, of the 45 patients enrolled, 41 patients completed 12 weeks of treatment per protocol.</w:t>
      </w:r>
    </w:p>
    <w:p>
      <w:pPr>
        <w:spacing w:after="0" w:line="44" w:lineRule="exact"/>
        <w:rPr>
          <w:sz w:val="20"/>
          <w:szCs w:val="20"/>
          <w:color w:val="auto"/>
        </w:rPr>
      </w:pPr>
    </w:p>
    <w:p>
      <w:pPr>
        <w:ind w:left="640" w:right="639" w:firstLine="443"/>
        <w:spacing w:after="0" w:line="245" w:lineRule="auto"/>
        <w:rPr>
          <w:sz w:val="20"/>
          <w:szCs w:val="20"/>
          <w:color w:val="auto"/>
        </w:rPr>
      </w:pPr>
      <w:r>
        <w:rPr>
          <w:rFonts w:ascii="Arial" w:cs="Arial" w:eastAsia="Arial" w:hAnsi="Arial"/>
          <w:sz w:val="14"/>
          <w:szCs w:val="14"/>
          <w:color w:val="auto"/>
        </w:rPr>
        <w:t>A summary of baseline characteristics for the 53 patients enrolled in the study, including the eight patients in part 1 and the 45 patients in part 2, are reported below. We believe the characteristics of the patients enrolled in our trial are similar to those of the patients enrolled in contemporary phase 2 and phase 3 trials of other investigational therapies in moderate-to-severe UC such as obefazimod (NCT04023396, NCT05507203, NCT05507216), MORF-057 (NCT05291689, NCT05611671), icotrokinra (NCT06049017), tulisokibart (NCT04996797), duvakitug (NCT05499130), and afimkibart (NCT04090411), for which comparative baseline characteristics are shown. The AT-experienced population included patients who failed up to three lines of prior therapy, with most being exposed to one or two approved or investigational agents such as adalimumab, golimumab, etrasimod, etrolizumab, icotrokinra, infliximab, MORF-057, PN-943, rosnilimab, a TYK2 inhibitor, and ustekinumab.</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7" w:name="page128"/>
    <w:bookmarkEnd w:id="12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640" w:right="679"/>
        <w:spacing w:after="0" w:line="291" w:lineRule="auto"/>
        <w:rPr>
          <w:sz w:val="20"/>
          <w:szCs w:val="20"/>
          <w:color w:val="auto"/>
        </w:rPr>
      </w:pPr>
      <w:r>
        <w:rPr>
          <w:rFonts w:ascii="Arial" w:cs="Arial" w:eastAsia="Arial" w:hAnsi="Arial"/>
          <w:sz w:val="14"/>
          <w:szCs w:val="14"/>
          <w:b w:val="1"/>
          <w:bCs w:val="1"/>
          <w:color w:val="auto"/>
        </w:rPr>
        <w:t>Baseline Characteristics of Enrolled Patients in OD-001 Phase 2a Trial and Comparative Contemporary UC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88900</wp:posOffset>
            </wp:positionV>
            <wp:extent cx="4909820" cy="25368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09820" cy="253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Patients in our clinical trial were enrolled across 18 sites and 7 countries, which included Australia, Canada, Jordan, Moldova, Poland, Ukraine, and New Zealand. Recent clinical studies, such as the Abivax phase 3 ABTECT-1 and ABTECT-2 trials, have shown that in well-controlled clinical studies, placebo remission rates are similar between geographies. Below, we summarize the clinical remission rates across Western Europe, Eastern Europe, and the rest of the world that were published in "</w:t>
      </w:r>
      <w:r>
        <w:rPr>
          <w:rFonts w:ascii="Arial" w:cs="Arial" w:eastAsia="Arial" w:hAnsi="Arial"/>
          <w:sz w:val="14"/>
          <w:szCs w:val="14"/>
          <w:i w:val="1"/>
          <w:iCs w:val="1"/>
          <w:color w:val="auto"/>
        </w:rPr>
        <w:t>P1159 – Pooled Analysis of Efficacy and Safety of Once-Daily Oral Obefazimod in</w:t>
      </w:r>
      <w:r>
        <w:rPr>
          <w:rFonts w:ascii="Arial" w:cs="Arial" w:eastAsia="Arial" w:hAnsi="Arial"/>
          <w:sz w:val="14"/>
          <w:szCs w:val="14"/>
          <w:color w:val="auto"/>
        </w:rPr>
        <w:t xml:space="preserve"> </w:t>
      </w:r>
      <w:r>
        <w:rPr>
          <w:rFonts w:ascii="Arial" w:cs="Arial" w:eastAsia="Arial" w:hAnsi="Arial"/>
          <w:sz w:val="14"/>
          <w:szCs w:val="14"/>
          <w:i w:val="1"/>
          <w:iCs w:val="1"/>
          <w:color w:val="auto"/>
        </w:rPr>
        <w:t>European Patients From the ABTECT Phase 3, Double-Blind, Placebo-Controlled Induction Trials</w:t>
      </w:r>
      <w:r>
        <w:rPr>
          <w:rFonts w:ascii="Arial" w:cs="Arial" w:eastAsia="Arial" w:hAnsi="Arial"/>
          <w:sz w:val="14"/>
          <w:szCs w:val="14"/>
          <w:color w:val="auto"/>
        </w:rPr>
        <w:t>" at the European</w:t>
      </w:r>
      <w:r>
        <w:rPr>
          <w:rFonts w:ascii="Arial" w:cs="Arial" w:eastAsia="Arial" w:hAnsi="Arial"/>
          <w:sz w:val="14"/>
          <w:szCs w:val="14"/>
          <w:i w:val="1"/>
          <w:iCs w:val="1"/>
          <w:color w:val="auto"/>
        </w:rPr>
        <w:t xml:space="preserve"> </w:t>
      </w:r>
      <w:r>
        <w:rPr>
          <w:rFonts w:ascii="Arial" w:cs="Arial" w:eastAsia="Arial" w:hAnsi="Arial"/>
          <w:sz w:val="14"/>
          <w:szCs w:val="14"/>
          <w:color w:val="auto"/>
        </w:rPr>
        <w:t>Crohn’s and Colitis Organisation Meeting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145415</wp:posOffset>
            </wp:positionV>
            <wp:extent cx="4909820" cy="1575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09820" cy="157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699" w:firstLine="443"/>
        <w:spacing w:after="0" w:line="261" w:lineRule="auto"/>
        <w:rPr>
          <w:sz w:val="20"/>
          <w:szCs w:val="20"/>
          <w:color w:val="auto"/>
        </w:rPr>
      </w:pPr>
      <w:r>
        <w:rPr>
          <w:rFonts w:ascii="Arial" w:cs="Arial" w:eastAsia="Arial" w:hAnsi="Arial"/>
          <w:sz w:val="14"/>
          <w:szCs w:val="14"/>
          <w:color w:val="auto"/>
        </w:rPr>
        <w:t>Below, we summarize the preliminary 12-week safety observations for the 53 patients enrolled in part 1 and part 2 of this trial. These data will not be finalized until database lock and, thus, are subject to change prior to release of the final clinical study report.</w:t>
      </w:r>
    </w:p>
    <w:p>
      <w:pPr>
        <w:spacing w:after="0" w:line="44" w:lineRule="exact"/>
        <w:rPr>
          <w:sz w:val="20"/>
          <w:szCs w:val="20"/>
          <w:color w:val="auto"/>
        </w:rPr>
      </w:pPr>
    </w:p>
    <w:p>
      <w:pPr>
        <w:ind w:left="640" w:right="739" w:firstLine="443"/>
        <w:spacing w:after="0" w:line="282" w:lineRule="auto"/>
        <w:rPr>
          <w:sz w:val="20"/>
          <w:szCs w:val="20"/>
          <w:color w:val="auto"/>
        </w:rPr>
      </w:pPr>
      <w:r>
        <w:rPr>
          <w:rFonts w:ascii="Arial" w:cs="Arial" w:eastAsia="Arial" w:hAnsi="Arial"/>
          <w:sz w:val="14"/>
          <w:szCs w:val="14"/>
          <w:color w:val="auto"/>
        </w:rPr>
        <w:t>Both doses were well tolerated with only four treatment-emergent and drug-related adverse events in part 2 and none in part 1. The four drug-related AEs were two fevers, one headache, and one patient with elevated eosinophil count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8" w:name="page129"/>
    <w:bookmarkEnd w:id="12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46" w:lineRule="auto"/>
        <w:rPr>
          <w:sz w:val="20"/>
          <w:szCs w:val="20"/>
          <w:color w:val="auto"/>
        </w:rPr>
      </w:pPr>
      <w:r>
        <w:rPr>
          <w:rFonts w:ascii="Arial" w:cs="Arial" w:eastAsia="Arial" w:hAnsi="Arial"/>
          <w:sz w:val="14"/>
          <w:szCs w:val="14"/>
          <w:color w:val="auto"/>
        </w:rPr>
        <w:t>in intestinal biopsy. Among participants who received OD-001, 76% of the TEAEs were classified as grade 1 (mild). There were no grade 3 or higher AEs. In addition, there were no SAEs, dose-limiting toxicities, AEs based on liver function abnormalities, or SUSARs. The most common adverse events observed were headache or fever, with five occurrences of each and a majority were not deemed related to OD-001. Headache and fever occurred sporadically throughout the OD-001 induction period, none led to dosing interruption or discontinuation, and all resolved with continued dosing. Three patients discontinued treatment for reasons unrelated to study drug. The first was a patient in Ukraine who left the country and the other two were patients who withdrew consent. One patient who completed dosing in part 2 was not evaluable due to non-adherence to the trial protocol.</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Safety and Tolerability in All Part 1 and Part 2 Patients Enrolled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64135</wp:posOffset>
            </wp:positionV>
            <wp:extent cx="4221480" cy="22574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21480"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819" w:firstLine="516"/>
        <w:spacing w:after="0" w:line="250" w:lineRule="auto"/>
        <w:rPr>
          <w:sz w:val="20"/>
          <w:szCs w:val="20"/>
          <w:color w:val="auto"/>
        </w:rPr>
      </w:pPr>
      <w:r>
        <w:rPr>
          <w:rFonts w:ascii="Arial" w:cs="Arial" w:eastAsia="Arial" w:hAnsi="Arial"/>
          <w:sz w:val="14"/>
          <w:szCs w:val="14"/>
          <w:color w:val="auto"/>
        </w:rPr>
        <w:t xml:space="preserve">Evidence of clinical benefit was observed in both AT-experienced and AT-naïve patients. The primary endpoint, change in MMCS, was met in the trial. Specifically, in the 49 patients evaluable per protocol, we observed a clinically meaningful reduction in disease activity, with a mean reduction in MMCS from baseline of 2.55 points with a statistical significance of </w:t>
      </w:r>
      <w:r>
        <w:rPr>
          <w:rFonts w:ascii="Arial" w:cs="Arial" w:eastAsia="Arial" w:hAnsi="Arial"/>
          <w:sz w:val="14"/>
          <w:szCs w:val="14"/>
          <w:i w:val="1"/>
          <w:iCs w:val="1"/>
          <w:color w:val="auto"/>
        </w:rPr>
        <w:t>p</w:t>
      </w:r>
      <w:r>
        <w:rPr>
          <w:rFonts w:ascii="Arial" w:cs="Arial" w:eastAsia="Arial" w:hAnsi="Arial"/>
          <w:sz w:val="14"/>
          <w:szCs w:val="14"/>
          <w:color w:val="auto"/>
        </w:rPr>
        <w:t xml:space="preserve"> &lt; 0.001. Both part 1 and part 2 also independently met the primary endpoint, with mean reduction in MMCS from baseline of 3.12 (</w:t>
      </w:r>
      <w:r>
        <w:rPr>
          <w:rFonts w:ascii="Arial" w:cs="Arial" w:eastAsia="Arial" w:hAnsi="Arial"/>
          <w:sz w:val="14"/>
          <w:szCs w:val="14"/>
          <w:i w:val="1"/>
          <w:iCs w:val="1"/>
          <w:color w:val="auto"/>
        </w:rPr>
        <w:t>p</w:t>
      </w:r>
      <w:r>
        <w:rPr>
          <w:rFonts w:ascii="Arial" w:cs="Arial" w:eastAsia="Arial" w:hAnsi="Arial"/>
          <w:sz w:val="14"/>
          <w:szCs w:val="14"/>
          <w:color w:val="auto"/>
        </w:rPr>
        <w:t>=0.002) and 2.44 (</w:t>
      </w:r>
      <w:r>
        <w:rPr>
          <w:rFonts w:ascii="Arial" w:cs="Arial" w:eastAsia="Arial" w:hAnsi="Arial"/>
          <w:sz w:val="14"/>
          <w:szCs w:val="14"/>
          <w:i w:val="1"/>
          <w:iCs w:val="1"/>
          <w:color w:val="auto"/>
        </w:rPr>
        <w:t>p</w:t>
      </w:r>
      <w:r>
        <w:rPr>
          <w:rFonts w:ascii="Arial" w:cs="Arial" w:eastAsia="Arial" w:hAnsi="Arial"/>
          <w:sz w:val="14"/>
          <w:szCs w:val="14"/>
          <w:color w:val="auto"/>
        </w:rPr>
        <w:t xml:space="preserve"> &lt; 0.001), respectively.</w:t>
      </w:r>
    </w:p>
    <w:p>
      <w:pPr>
        <w:spacing w:after="0" w:line="53" w:lineRule="exact"/>
        <w:rPr>
          <w:sz w:val="20"/>
          <w:szCs w:val="20"/>
          <w:color w:val="auto"/>
        </w:rPr>
      </w:pPr>
    </w:p>
    <w:p>
      <w:pPr>
        <w:ind w:left="640" w:right="819" w:firstLine="516"/>
        <w:spacing w:after="0" w:line="247" w:lineRule="auto"/>
        <w:rPr>
          <w:sz w:val="20"/>
          <w:szCs w:val="20"/>
          <w:color w:val="auto"/>
        </w:rPr>
      </w:pPr>
      <w:r>
        <w:rPr>
          <w:rFonts w:ascii="Arial" w:cs="Arial" w:eastAsia="Arial" w:hAnsi="Arial"/>
          <w:sz w:val="14"/>
          <w:szCs w:val="14"/>
          <w:color w:val="auto"/>
        </w:rPr>
        <w:t>In a combined analysis of part 1 and part 2, 27% of patients achieved clinical remission, defined as a three-component MMCS score ≤ 2 (stool frequency subscore (SFS) ≤ 1, rectal bleeding subscore (RBS) = 0, and MES ≤ 1) at week 12. In the combined dataset, 33% of patients achieved endoscopic improvement, defined as a Mayo endoscopic subscore (MES) ≤ 1, 45% of patients achieved symptomatic remission, defined as SFS ≤1 and RBS = 0, and 59% of patients achieved clinical response, defined as a decrease in MMCS of ≥ 2 points from baseline. Of the eight patients in part 1, none were treated with concomitant steroids, and 27% of the 41 patients in part 2 were taking concomitant steroids. The overall rate of concomitant steroid use in the 49 evaluable patients was 22%.</w:t>
      </w:r>
    </w:p>
    <w:p>
      <w:pPr>
        <w:spacing w:after="0" w:line="54" w:lineRule="exact"/>
        <w:rPr>
          <w:sz w:val="20"/>
          <w:szCs w:val="20"/>
          <w:color w:val="auto"/>
        </w:rPr>
      </w:pPr>
    </w:p>
    <w:p>
      <w:pPr>
        <w:ind w:left="640" w:right="719" w:firstLine="516"/>
        <w:spacing w:after="0" w:line="254" w:lineRule="auto"/>
        <w:rPr>
          <w:sz w:val="20"/>
          <w:szCs w:val="20"/>
          <w:color w:val="auto"/>
        </w:rPr>
      </w:pPr>
      <w:r>
        <w:rPr>
          <w:rFonts w:ascii="Arial" w:cs="Arial" w:eastAsia="Arial" w:hAnsi="Arial"/>
          <w:sz w:val="14"/>
          <w:szCs w:val="14"/>
          <w:color w:val="auto"/>
        </w:rPr>
        <w:t>In the figure below, we have compared our results across key secondary and exploratory endpoints to historical placebo rates reported. We believe the linear relationship between the rate observed on efficacy parameters between the most stringent, clinical remission, and least stringent, clinical response, are consistent with an effect of OD-001 rather than a placebo effect.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9" w:name="page130"/>
    <w:bookmarkEnd w:id="12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Secondary and Exploratory Efficacy Endpoints at Week 12 (Parts 1 and 2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64135</wp:posOffset>
            </wp:positionV>
            <wp:extent cx="4364355" cy="24618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64355" cy="246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640" w:right="659"/>
        <w:spacing w:after="0" w:line="244" w:lineRule="auto"/>
        <w:rPr>
          <w:sz w:val="20"/>
          <w:szCs w:val="20"/>
          <w:color w:val="auto"/>
        </w:rPr>
      </w:pPr>
      <w:r>
        <w:rPr>
          <w:rFonts w:ascii="Arial" w:cs="Arial" w:eastAsia="Arial" w:hAnsi="Arial"/>
          <w:sz w:val="14"/>
          <w:szCs w:val="14"/>
          <w:i w:val="1"/>
          <w:iCs w:val="1"/>
          <w:color w:val="auto"/>
        </w:rPr>
        <w:t>Historic placebo benchmarks are derived from contemporary post-PoC UC trials run between 2020-2025; average of placebo group clinical remission is 10% across 11 phase 2 and phase 3 trials, and analysis represents 3,012 total patients and 820 placebo-treated patients; average of placebo group endoscopic improvement is 15% across 10 phase 2 and phase 3 trials, and analysis represents 2,920 total patients and 789 placebo-treated patients; average of placebo group symptomatic remission is 18% across five phase 2 and phase 3 trials, and analysis represents 1,872 total patients and 517 placebo-treated patients; and average of placebo group clinical response is 37% across nine phase 2 and phase 3 trials, and analysis represents 2,633 total patients and 726 placebo-treated patients. Our internal assessment of historic placebo rate is supported by third-party publications assessing placebo rates using individual patient data, including the 2025 article titled “Placebo Rates in Randomized Clinical Trials of Ulcerative Colitis: an Individual Patient Data Meta-analysis,” published in Volume 19, Issue 10 of the Journal of Crohn’s and Colitis, which derived a 9% placebo clinical remission rate estimate and a 33% placebo clinical response rate estimate.</w:t>
      </w:r>
    </w:p>
    <w:p>
      <w:pPr>
        <w:spacing w:after="0" w:line="131" w:lineRule="exact"/>
        <w:rPr>
          <w:sz w:val="20"/>
          <w:szCs w:val="20"/>
          <w:color w:val="auto"/>
        </w:rPr>
      </w:pPr>
    </w:p>
    <w:p>
      <w:pPr>
        <w:jc w:val="both"/>
        <w:ind w:left="640" w:right="739" w:firstLine="516"/>
        <w:spacing w:after="0" w:line="261" w:lineRule="auto"/>
        <w:rPr>
          <w:sz w:val="20"/>
          <w:szCs w:val="20"/>
          <w:color w:val="auto"/>
        </w:rPr>
      </w:pPr>
      <w:r>
        <w:rPr>
          <w:rFonts w:ascii="Arial" w:cs="Arial" w:eastAsia="Arial" w:hAnsi="Arial"/>
          <w:sz w:val="14"/>
          <w:szCs w:val="14"/>
          <w:color w:val="auto"/>
        </w:rPr>
        <w:t>Similar activity was observed across secondary and exploratory efficacy measures in part 1 and part 2 of the trial suggesting both meet or exceed drug exposure levels necessary for maximal therapeutic benefit from RIPK2 scaffolding inhibition.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0" w:name="page131"/>
    <w:bookmarkEnd w:id="13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Secondary and Exploratory Efficacy Endpoints in Part 1 and Part 2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132080</wp:posOffset>
            </wp:positionV>
            <wp:extent cx="4800600" cy="2052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00600" cy="205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40" w:right="659" w:firstLine="516"/>
        <w:spacing w:after="0" w:line="244" w:lineRule="auto"/>
        <w:rPr>
          <w:sz w:val="20"/>
          <w:szCs w:val="20"/>
          <w:color w:val="auto"/>
        </w:rPr>
      </w:pPr>
      <w:r>
        <w:rPr>
          <w:rFonts w:ascii="Arial" w:cs="Arial" w:eastAsia="Arial" w:hAnsi="Arial"/>
          <w:sz w:val="14"/>
          <w:szCs w:val="14"/>
          <w:color w:val="auto"/>
        </w:rPr>
        <w:t>In addition, we have assessed our treatment effect on patients who are AT naïve and AT experienced as reflected in the figure below which we benchmark to historical placebo rates observed in contemporary phase 2 and phase 3 trials of approved or investigational adaptive therapies for UC for which we identified a breakdown of results into AT naïve and AT experienced patient populations. We believe that our results broken out by prior AT-exposure are an important consideration in assessing the potential treatment effect of OD-001. First, we have observed a similar overall clinical remission rate in AT-naïve and AT-experienced patients which we believe suggests the innate immune mechanism of our drug may be effective in overcoming resistance to existing adaptive immune targeted therapies. Innate immune cells are commonly elevated in patients who have developed resistance to standard of care therapies and these cells highly express RIPK2. This is one of the key cell types targeted by OD-001 and provides a mechanistic hypothesis for why OD-001 could be effective in patients who have previously failed an advanced therapy. Second, historic placebo response rates are significantly lower in AT-experienced patients, on the order of 3% in this historic placebo dataset, suggesting the activity observed with OD-001 in the AT-experienced patient subset is unlikely to be explained by a placebo effect.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1" w:name="page132"/>
    <w:bookmarkEnd w:id="13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Clinical Remission With OD-001 in AT-Experienced (n=16) and AT-Naïve (n=33)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111760</wp:posOffset>
            </wp:positionV>
            <wp:extent cx="3348355" cy="22980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835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640" w:right="699"/>
        <w:spacing w:after="0" w:line="250" w:lineRule="auto"/>
        <w:rPr>
          <w:sz w:val="20"/>
          <w:szCs w:val="20"/>
          <w:color w:val="auto"/>
        </w:rPr>
      </w:pPr>
      <w:r>
        <w:rPr>
          <w:rFonts w:ascii="Arial" w:cs="Arial" w:eastAsia="Arial" w:hAnsi="Arial"/>
          <w:sz w:val="14"/>
          <w:szCs w:val="14"/>
          <w:i w:val="1"/>
          <w:iCs w:val="1"/>
          <w:color w:val="auto"/>
        </w:rPr>
        <w:t>OD-001 results are consolidated from both part 1 and part 2. The historic placebo rate presented in this figure reflects the weighted average of the placebo rates from the phase 2a and 2b trials of MORF-057, phase 2b duvakitug trial, and phase 3 trials of obefazimod from their conference presentations or paper publications and Rinvoq phase 3 trials in UC as presented in their FDA label. The placebo comparator trial dataset represents 406 placebo-treated AT-naïve and 353 placebo-treated AT-experienced patients.</w:t>
      </w:r>
    </w:p>
    <w:p>
      <w:pPr>
        <w:spacing w:after="0" w:line="212" w:lineRule="exact"/>
        <w:rPr>
          <w:sz w:val="20"/>
          <w:szCs w:val="20"/>
          <w:color w:val="auto"/>
        </w:rPr>
      </w:pPr>
    </w:p>
    <w:p>
      <w:pPr>
        <w:ind w:left="640" w:right="879" w:firstLine="516"/>
        <w:spacing w:after="0" w:line="248" w:lineRule="auto"/>
        <w:rPr>
          <w:sz w:val="20"/>
          <w:szCs w:val="20"/>
          <w:color w:val="auto"/>
        </w:rPr>
      </w:pPr>
      <w:r>
        <w:rPr>
          <w:rFonts w:ascii="Arial" w:cs="Arial" w:eastAsia="Arial" w:hAnsi="Arial"/>
          <w:sz w:val="14"/>
          <w:szCs w:val="14"/>
          <w:color w:val="auto"/>
        </w:rPr>
        <w:t>Fecal calprotectin is a validated biomarker used to detect gastrointestinal inflammation and assess disease severity in UC. Below we detail the change in fecal calprotectin from screening to week 12 observed in patients who achieved clinical remission, clinical response, or who had no response. Consistent with the efficacy endpoints detailed above, we observed a reduction in fecal calprotectin in patients who achieved clinical remission to normal levels and a reduction in patients with clinical response. Across all three groups, we observed a similar baseline level of fecal calprotectin suggesting similar disease severity in patients at screening who had clinical benefit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146050</wp:posOffset>
            </wp:positionV>
            <wp:extent cx="3102610" cy="1779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02610"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In a symptomatic disease such as UC, the time for onset to benefit is important for patient acceptance and</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compliance with a therapy. In the figure below, we show the time course for symptomatic improvement based on patient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2" w:name="page133"/>
    <w:bookmarkEnd w:id="13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19"/>
        <w:spacing w:after="0" w:line="261" w:lineRule="auto"/>
        <w:rPr>
          <w:sz w:val="20"/>
          <w:szCs w:val="20"/>
          <w:color w:val="auto"/>
        </w:rPr>
      </w:pPr>
      <w:r>
        <w:rPr>
          <w:rFonts w:ascii="Arial" w:cs="Arial" w:eastAsia="Arial" w:hAnsi="Arial"/>
          <w:sz w:val="14"/>
          <w:szCs w:val="14"/>
          <w:color w:val="auto"/>
        </w:rPr>
        <w:t>reported blood in stool, one of the two components of the PRO-2 score. As shown in the figure below, patients who achieved either clinical remission or clinical response had a rapid reduction in their daily bleeding scores by week 2 with continued improvement through induction treatment with OD-001.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194310</wp:posOffset>
            </wp:positionV>
            <wp:extent cx="4493895" cy="22637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49389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40" w:right="879" w:firstLine="443"/>
        <w:spacing w:after="0" w:line="254" w:lineRule="auto"/>
        <w:rPr>
          <w:sz w:val="20"/>
          <w:szCs w:val="20"/>
          <w:color w:val="auto"/>
        </w:rPr>
      </w:pPr>
      <w:r>
        <w:rPr>
          <w:rFonts w:ascii="Arial" w:cs="Arial" w:eastAsia="Arial" w:hAnsi="Arial"/>
          <w:sz w:val="14"/>
          <w:szCs w:val="14"/>
          <w:color w:val="auto"/>
        </w:rPr>
        <w:t>Below we provide additional granularity on two AT-experienced patients who achieved clinical remission during OD-001 treatment. While these results cannot be extrapolated to all patients treated during this trial, or future trials, we believe the patient benefit observed and timing of improvement are important to understand the overall trial results and potential impact on patients.</w:t>
      </w:r>
    </w:p>
    <w:p>
      <w:pPr>
        <w:spacing w:after="0" w:line="49"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Patient A is a 44-year-old male located in Australia who has a 13-year history of UC and prior exposure to anti-TNF therapy. This patient had a MES of 2 and MMCS of 6 at screening and was not treated with concomitant steroids during OD-001 induction. At the end of the 12-week OD-001 treatment period, Patient A reached clinical remission, histologic and endoscopic improvement, and endoscopic remission (MES=0). During screening, Patient A had blood in his stool</w:t>
      </w:r>
    </w:p>
    <w:p>
      <w:pPr>
        <w:spacing w:after="0" w:line="1" w:lineRule="exact"/>
        <w:rPr>
          <w:sz w:val="20"/>
          <w:szCs w:val="20"/>
          <w:color w:val="auto"/>
        </w:rPr>
      </w:pPr>
    </w:p>
    <w:p>
      <w:pPr>
        <w:ind w:left="640" w:right="759"/>
        <w:spacing w:after="0" w:line="247" w:lineRule="auto"/>
        <w:rPr>
          <w:sz w:val="20"/>
          <w:szCs w:val="20"/>
          <w:color w:val="auto"/>
        </w:rPr>
      </w:pPr>
      <w:r>
        <w:rPr>
          <w:rFonts w:ascii="Arial" w:cs="Arial" w:eastAsia="Arial" w:hAnsi="Arial"/>
          <w:sz w:val="14"/>
          <w:szCs w:val="14"/>
          <w:color w:val="auto"/>
        </w:rPr>
        <w:t>75% of days and, after two weeks of treatment, only had bleeding occur on one day in the following 10 weeks. Cessation of bleeding is a sign that the ongoing mucosal damage that underlies IBD is being reversed by OD-001. This result was supported by histologic assessment at week 12, where one can observe an intact mucosal barrier and no neutrophil infiltrate, a cell type involved in mucosal damage.</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3" w:name="page134"/>
    <w:bookmarkEnd w:id="13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521970</wp:posOffset>
            </wp:positionV>
            <wp:extent cx="2386965" cy="2823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86965" cy="282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Patient B is a 55-year-old female located in Canada with a five-year history of UC and prior exposure to two advanced therapies, an anti-IL-23 and a S1P1 inhibitor. Patient B had an MES of 2 and an MMCS of 5 at screening. At the end of the 12-week OD-001 treatment period, Patient B had reached clinical remission and histologic and endoscopic improvement. However, approximately four weeks after stopping treatment with OD-001 and initiating treatment with vedolizumab, Patient B experienced rapid worsening of her UC symptoms. At week 18, Patient B's PRO-2 score reached 4.67 and the investigator discontinued the patient from the trial so she could be treated with another approved therapy. We believe Patient B's results are supportive of the therapeutic benefit of OD-001 for two reasons. First, the remission Patient B achieved during OD-001 treatment is unlikely to be driven by a placebo effect given they lost response during subsequent treatment with vedolizumab, an approved agent. Second, this result can potentially illustrate the efficacy differentiation of targeting RIPK2, an upstream component of the inflammatory process as compared to a downstream adaptive mechanism.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4" w:name="page135"/>
    <w:bookmarkEnd w:id="13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521970</wp:posOffset>
            </wp:positionV>
            <wp:extent cx="4521200" cy="21685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2120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679" w:firstLine="443"/>
        <w:spacing w:after="0" w:line="282" w:lineRule="auto"/>
        <w:rPr>
          <w:sz w:val="20"/>
          <w:szCs w:val="20"/>
          <w:color w:val="auto"/>
        </w:rPr>
      </w:pPr>
      <w:r>
        <w:rPr>
          <w:rFonts w:ascii="Arial" w:cs="Arial" w:eastAsia="Arial" w:hAnsi="Arial"/>
          <w:sz w:val="14"/>
          <w:szCs w:val="14"/>
          <w:color w:val="auto"/>
        </w:rPr>
        <w:t>Based on the results from this phase 2a trial, we believe OD-001 may be an effective and well-tolerated therapy for moderate-to-severe UC patients that is potentially differentiated from existing standard of care agents.</w:t>
      </w:r>
    </w:p>
    <w:p>
      <w:pPr>
        <w:spacing w:after="0" w:line="105" w:lineRule="exact"/>
        <w:rPr>
          <w:sz w:val="20"/>
          <w:szCs w:val="20"/>
          <w:color w:val="auto"/>
        </w:rPr>
      </w:pPr>
    </w:p>
    <w:p>
      <w:pPr>
        <w:ind w:left="640" w:right="899" w:firstLine="443"/>
        <w:spacing w:after="0" w:line="282" w:lineRule="auto"/>
        <w:rPr>
          <w:sz w:val="20"/>
          <w:szCs w:val="20"/>
          <w:color w:val="auto"/>
        </w:rPr>
      </w:pPr>
      <w:r>
        <w:rPr>
          <w:rFonts w:ascii="Arial" w:cs="Arial" w:eastAsia="Arial" w:hAnsi="Arial"/>
          <w:sz w:val="14"/>
          <w:szCs w:val="14"/>
          <w:color w:val="auto"/>
        </w:rPr>
        <w:t>Given the results observed in part 1, we elected to initiate an expansion cohort at 10 mg BID to further build the safety database at this dose. This expansion cohort of eight patients was fully enrolled in March 2026.</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Next Steps for OD-001</w:t>
      </w:r>
    </w:p>
    <w:p>
      <w:pPr>
        <w:spacing w:after="0" w:line="84" w:lineRule="exact"/>
        <w:rPr>
          <w:sz w:val="20"/>
          <w:szCs w:val="20"/>
          <w:color w:val="auto"/>
        </w:rPr>
      </w:pPr>
    </w:p>
    <w:p>
      <w:pPr>
        <w:ind w:left="640" w:right="719" w:firstLine="443"/>
        <w:spacing w:after="0" w:line="254" w:lineRule="auto"/>
        <w:rPr>
          <w:sz w:val="20"/>
          <w:szCs w:val="20"/>
          <w:color w:val="auto"/>
        </w:rPr>
      </w:pPr>
      <w:r>
        <w:rPr>
          <w:rFonts w:ascii="Arial" w:cs="Arial" w:eastAsia="Arial" w:hAnsi="Arial"/>
          <w:sz w:val="14"/>
          <w:szCs w:val="14"/>
          <w:color w:val="auto"/>
        </w:rPr>
        <w:t>Pending discussions with regulators, we plan to advance our RIPK2 program into a phase 2b randomized, double-blind, and placebo-controlled monotherapy induction and maintenance trial and a randomized, double-blind phase 2a combination trial, with standard-of-care vedolizumab compared to vedolizumab plus placebo for induction, followed by OD-001 monotherapy maintenance treatment in both groups.</w:t>
      </w:r>
    </w:p>
    <w:p>
      <w:pPr>
        <w:spacing w:after="0" w:line="49"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The trial design of the phase 2a combination trial is not yet finalized. As of the date of this prospectus, we plan to initiate this trial in the second half of 2026 to evaluate OD-001 in combination with an integrin-blocking therapy, vedolizumab, for induction and will also evaluate OD-001 as a single-agent maintenance therapy from week 12 to week 52 in approximately 146 patients with moderate-to-severe UC. We expect to randomize patients to either OD-001 plus vedolizumab or vedolizumab plus placebo for induction over 12 weeks. After induction, all patients will be treated with OD-001 for an additional 40 weeks as part of the 52-week maintenance readout. We believe OD-001 may offer a compelling profile for prescribers and patients given its potential to be used in combination with established standard-of-care therapies during induction to potentially improve remission rates and subsequently as a well-tolerated, oral -only monotherapy for long-term maintenance. We selected vedolizumab as the first combination partner based on its position as a first-line advanced standard-of-care therapy for most UC patients, its favorable safety profile compared to other advanced therapies, its expected complementary mechanism of action to OD-001,its gut-restricted mechanism of action, and translational evidence supporting RIPK2 activation as a potential resistance mechanism. We are currently evaluating other potential combinations with standard of care agents, such as JAK inhibitors or TNF blockers, and may initiate additional combination studies in the future.</w:t>
      </w:r>
    </w:p>
    <w:p>
      <w:pPr>
        <w:spacing w:after="0" w:line="59" w:lineRule="exact"/>
        <w:rPr>
          <w:sz w:val="20"/>
          <w:szCs w:val="20"/>
          <w:color w:val="auto"/>
        </w:rPr>
      </w:pPr>
    </w:p>
    <w:p>
      <w:pPr>
        <w:ind w:left="640" w:right="719" w:firstLine="443"/>
        <w:spacing w:after="0" w:line="250" w:lineRule="auto"/>
        <w:rPr>
          <w:sz w:val="20"/>
          <w:szCs w:val="20"/>
          <w:color w:val="auto"/>
        </w:rPr>
      </w:pPr>
      <w:r>
        <w:rPr>
          <w:rFonts w:ascii="Arial" w:cs="Arial" w:eastAsia="Arial" w:hAnsi="Arial"/>
          <w:sz w:val="14"/>
          <w:szCs w:val="14"/>
          <w:color w:val="auto"/>
        </w:rPr>
        <w:t>We currently expect to release topline combination induction results with vedolizumab from this trial in the second half of 2027. We anticipate conducting this second OD-001 phase 2a trial at approximately 100 sites globally, including in the countries and sites included in our phase 2a trial, as well as additional countries and sites in South America, North America, Western Europe, Eastern Europe, and Africa, pending submission of CTAs or an IND and approval and clearance to proceed by the applicable regulatory authorities.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5" w:name="page136"/>
    <w:bookmarkEnd w:id="13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OD-001 Planned Phase 2a Combination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111760</wp:posOffset>
            </wp:positionV>
            <wp:extent cx="4316730" cy="22574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6730"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4"/>
          <w:szCs w:val="14"/>
          <w:color w:val="auto"/>
        </w:rPr>
        <w:t>The trial design of the phase 2b monotherapy trial is not yet finalized. As of the date of this prospectus, we plan to initiate a phase 2b double-blind, randomized, and placebo-controlled monotherapy trial in the second half of 2026 to evaluate OD-001 at a 10 mg BID and 20 mg BID dose compared to placebo in approximately 180 patients randomized 1:1:1 for induction. We will also assess OD-001 as single-agent maintenance therapy from week 12 to week 52.</w:t>
      </w:r>
    </w:p>
    <w:p>
      <w:pPr>
        <w:spacing w:after="0" w:line="124" w:lineRule="exact"/>
        <w:rPr>
          <w:sz w:val="20"/>
          <w:szCs w:val="20"/>
          <w:color w:val="auto"/>
        </w:rPr>
      </w:pPr>
    </w:p>
    <w:p>
      <w:pPr>
        <w:ind w:left="640" w:right="739" w:firstLine="516"/>
        <w:spacing w:after="0" w:line="250" w:lineRule="auto"/>
        <w:rPr>
          <w:sz w:val="20"/>
          <w:szCs w:val="20"/>
          <w:color w:val="auto"/>
        </w:rPr>
      </w:pPr>
      <w:r>
        <w:rPr>
          <w:rFonts w:ascii="Arial" w:cs="Arial" w:eastAsia="Arial" w:hAnsi="Arial"/>
          <w:sz w:val="14"/>
          <w:szCs w:val="14"/>
          <w:color w:val="auto"/>
        </w:rPr>
        <w:t>We currently expect to release topline induction results from the phase 2b monotherapy trial in the second half of 2027. We anticipate conducting this trial at approximately 100 sites globally, including in the countries and sites included in our phase 2a trial, as well as additional sites in South America, North America, Western Europe, Eastern Europe, and Africa, pending submission of CTAs or an IND and approval and clearance to proceed by the applicable regulatory authorities.</w:t>
      </w:r>
    </w:p>
    <w:p>
      <w:pPr>
        <w:spacing w:after="0" w:line="53"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OD-001 Planned Phase 2b Monotherapy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220980</wp:posOffset>
            </wp:positionV>
            <wp:extent cx="4296410" cy="20116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96410"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659" w:firstLine="516"/>
        <w:spacing w:after="0" w:line="261" w:lineRule="auto"/>
        <w:rPr>
          <w:sz w:val="20"/>
          <w:szCs w:val="20"/>
          <w:color w:val="auto"/>
        </w:rPr>
      </w:pPr>
      <w:r>
        <w:rPr>
          <w:rFonts w:ascii="Arial" w:cs="Arial" w:eastAsia="Arial" w:hAnsi="Arial"/>
          <w:sz w:val="14"/>
          <w:szCs w:val="14"/>
          <w:color w:val="auto"/>
        </w:rPr>
        <w:t>As part of our clinical pharmacology activities to support the program, we are currently developing a formulation of OD-001 that we believe could enable a once-daily, or QD, dosing schedule if shown to be equivalent in a PK bridging study acceptable to relevant regulatory agencies.</w:t>
      </w:r>
    </w:p>
    <w:p>
      <w:pPr>
        <w:spacing w:after="0" w:line="200" w:lineRule="exact"/>
        <w:rPr>
          <w:sz w:val="20"/>
          <w:szCs w:val="20"/>
          <w:color w:val="auto"/>
        </w:rPr>
      </w:pPr>
    </w:p>
    <w:p>
      <w:pPr>
        <w:spacing w:after="0" w:line="284" w:lineRule="exact"/>
        <w:rPr>
          <w:sz w:val="20"/>
          <w:szCs w:val="20"/>
          <w:color w:val="auto"/>
        </w:rPr>
      </w:pPr>
    </w:p>
    <w:p>
      <w:pPr>
        <w:ind w:left="640" w:right="859" w:firstLine="443"/>
        <w:spacing w:after="0" w:line="254" w:lineRule="auto"/>
        <w:rPr>
          <w:sz w:val="20"/>
          <w:szCs w:val="20"/>
          <w:color w:val="auto"/>
        </w:rPr>
      </w:pPr>
      <w:r>
        <w:rPr>
          <w:rFonts w:ascii="Arial" w:cs="Arial" w:eastAsia="Arial" w:hAnsi="Arial"/>
          <w:sz w:val="14"/>
          <w:szCs w:val="14"/>
          <w:color w:val="auto"/>
        </w:rPr>
        <w:t>Pending the completion of the ongoing monotherapy phase 2a trial of OD-001 and initiation of the phase 2a combination with vedolizumab and phase 2b monotherapy trials, we may initiate additional signal-seeking trials in other diseases we believe may be amenable to RIPK2 inhibition, including Crohn’s disease and spondyloarthritis, a type of immune-mediated arthritis that occurs in 10-39% of IBD patients.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SLC15A4</w:t>
      </w:r>
    </w:p>
    <w:p>
      <w:pPr>
        <w:spacing w:after="0" w:line="84"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OD-002 is an oral small-molecule SLC15A4 inhibitor product candidate currently in IND-enabling studies. SLC15A4 is a critical signaling protein in the immune response triggered by TLR7/8/9 activation from nucleic acids and nucleic acid-containing complexes. This pathway leads to the production of type I interferons and proinflammatory cytokines and chemokines, and activates pathogenic B cell proliferation. We believe that inhibition of SLC15A4 has the potential to be more effective than TLR7/8 inhibitors, which leave TLR9 unaddressed, or interferon-blocking drugs, which fail to reduce other proinflammatory cytokines or chemokines. Hence, we intend to develop our SLC15A4 inhibitor for the treatment of interferonopathies, including SLE and CLE, and other B cell-mediated autoimmune diseases.</w:t>
      </w:r>
    </w:p>
    <w:p>
      <w:pPr>
        <w:spacing w:after="0" w:line="54" w:lineRule="exact"/>
        <w:rPr>
          <w:sz w:val="20"/>
          <w:szCs w:val="20"/>
          <w:color w:val="auto"/>
        </w:rPr>
      </w:pPr>
    </w:p>
    <w:p>
      <w:pPr>
        <w:ind w:left="640" w:right="739" w:firstLine="443"/>
        <w:spacing w:after="0" w:line="246" w:lineRule="auto"/>
        <w:rPr>
          <w:sz w:val="20"/>
          <w:szCs w:val="20"/>
          <w:color w:val="auto"/>
        </w:rPr>
      </w:pPr>
      <w:r>
        <w:rPr>
          <w:rFonts w:ascii="Arial" w:cs="Arial" w:eastAsia="Arial" w:hAnsi="Arial"/>
          <w:sz w:val="14"/>
          <w:szCs w:val="14"/>
          <w:color w:val="auto"/>
        </w:rPr>
        <w:t>Leveraging our AI/ML platform, we identified novel, high-quality starting points for this program in October of 2024 and rapidly advanced development, resulting in the initiation of IND-enabling studies for our development candidate, OD-002, 14 months later in December 2025. Pending an acceptable profile in these IND-enabling studies, we expect to file a CTA for this program outside of the United States in the second half of 2026 and then would expect to initiate a phase 1/2a trial with healthy participants and patients with CLE in the first half of 2027. We expect that the healthy participant portion of this trial will consist of a SAD component and a MAD component to assess safety, PK, and PD. We expect the phase 2a portion of this trial to enroll patients with CLE for assessment of 12-week safety and efficacy. We expect to announce results from the healthy participant portion of this trial in the second half of 2027.</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Nucleic Acids Signaling Through TLR7/8/9 Initiate and Sustain Autoimmunity</w:t>
      </w:r>
    </w:p>
    <w:p>
      <w:pPr>
        <w:spacing w:after="0" w:line="84" w:lineRule="exact"/>
        <w:rPr>
          <w:sz w:val="20"/>
          <w:szCs w:val="20"/>
          <w:color w:val="auto"/>
        </w:rPr>
      </w:pPr>
    </w:p>
    <w:p>
      <w:pPr>
        <w:ind w:left="640" w:right="659" w:firstLine="438"/>
        <w:spacing w:after="0" w:line="244" w:lineRule="auto"/>
        <w:rPr>
          <w:sz w:val="20"/>
          <w:szCs w:val="20"/>
          <w:color w:val="auto"/>
        </w:rPr>
      </w:pPr>
      <w:r>
        <w:rPr>
          <w:rFonts w:ascii="Arial" w:cs="Arial" w:eastAsia="Arial" w:hAnsi="Arial"/>
          <w:sz w:val="14"/>
          <w:szCs w:val="14"/>
          <w:color w:val="auto"/>
        </w:rPr>
        <w:t>The initiation of lupus and several other autoimmune diseases is driven by the breakdown of tolerance to endogenous nucleic acids. In healthy individuals, the ability to process and clear self-nucleic acids is sufficient to limit their exposure and as a result, these molecules do not cause inflammation. However, in certain diseases, this clearance process is dysregulated and these nucleic acid autoantigens accumulate in extracellular spaces, and their increased presence results in chronic activation of the innate immune receptors expressed in monocytes, dendritic cells, plasmacytoid dendritic cells, and B cells. TLR7 and TLR8 recognize RNA, whereas TLR9 recognizes DNA. Activation of these receptors converges on a common signaling pathway with similar downstream proinflammatory responses. As a consequence, nucleic acids activate these immune cells to initiate and sustain a proinflammatory response that includes the production of type I interferons, cytokines, and chemokines, as well as B cell activation and differentiation. The latter results in the survival and expansion of autoreactive B cells that secrete autoantibodies specific for nucleic acids. These autoantibodies form immune complexes with nucleic acids that increase nucleic acid uptake by immune cells and trafficking within cells to endolysosomes where TLR7/8/9 are present, further amplifying the autoimmune response.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SLC15A4 Is a Critical Node in TLR7/8/9 Inflammatory Signaling</w:t>
      </w:r>
    </w:p>
    <w:p>
      <w:pPr>
        <w:spacing w:after="0" w:line="84" w:lineRule="exact"/>
        <w:rPr>
          <w:sz w:val="20"/>
          <w:szCs w:val="20"/>
          <w:color w:val="auto"/>
        </w:rPr>
      </w:pPr>
    </w:p>
    <w:p>
      <w:pPr>
        <w:ind w:left="640" w:right="779" w:firstLine="443"/>
        <w:spacing w:after="0" w:line="250" w:lineRule="auto"/>
        <w:rPr>
          <w:sz w:val="20"/>
          <w:szCs w:val="20"/>
          <w:color w:val="auto"/>
        </w:rPr>
      </w:pPr>
      <w:r>
        <w:rPr>
          <w:rFonts w:ascii="Arial" w:cs="Arial" w:eastAsia="Arial" w:hAnsi="Arial"/>
          <w:sz w:val="14"/>
          <w:szCs w:val="14"/>
          <w:color w:val="auto"/>
        </w:rPr>
        <w:t>SLC15A4 is an integral transmembrane protein localized to the endolysosomal membrane and is required to transduce inflammatory signals downstream of TLR7, TLR8, and TLR9. SLC15A4 functions as a signaling molecule by recruiting the protein TASL to the proximity of TLR7/8/9 receptors where it allows TASL to be phosphorylated and activated. This activation enables the recruitment of IRF5 and its subsequent phosphorylation and activation. Thereafter, IRF5 translocates to the nucleus and functions as a transcriptional activator with multiple effects.</w:t>
      </w:r>
    </w:p>
    <w:p>
      <w:pPr>
        <w:spacing w:after="0" w:line="53" w:lineRule="exact"/>
        <w:rPr>
          <w:sz w:val="20"/>
          <w:szCs w:val="20"/>
          <w:color w:val="auto"/>
        </w:rPr>
      </w:pPr>
    </w:p>
    <w:p>
      <w:pPr>
        <w:ind w:left="640" w:right="799" w:firstLine="443"/>
        <w:spacing w:after="0" w:line="250" w:lineRule="auto"/>
        <w:rPr>
          <w:sz w:val="20"/>
          <w:szCs w:val="20"/>
          <w:color w:val="auto"/>
        </w:rPr>
      </w:pPr>
      <w:r>
        <w:rPr>
          <w:rFonts w:ascii="Arial" w:cs="Arial" w:eastAsia="Arial" w:hAnsi="Arial"/>
          <w:sz w:val="14"/>
          <w:szCs w:val="14"/>
          <w:color w:val="auto"/>
        </w:rPr>
        <w:t>In myeloid cells, IRF5 induces production of type I interferon and proinflammatory cytokines and chemokines, including IL-12, IL-6, TNF, CCL10, and CCL2. Sustained interferon signaling drives chronic tissue inflammation, alters immune cell differentiation states, and promotes its own production through positive feedback mechanisms. Collectively, this response promotes immune cell activation and tissue infiltration, leading to chronic inflammation and tissue injury across affected organs.</w:t>
      </w:r>
    </w:p>
    <w:p>
      <w:pPr>
        <w:spacing w:after="0" w:line="53" w:lineRule="exact"/>
        <w:rPr>
          <w:sz w:val="20"/>
          <w:szCs w:val="20"/>
          <w:color w:val="auto"/>
        </w:rPr>
      </w:pPr>
    </w:p>
    <w:p>
      <w:pPr>
        <w:ind w:left="640" w:right="759" w:firstLine="443"/>
        <w:spacing w:after="0" w:line="254" w:lineRule="auto"/>
        <w:rPr>
          <w:sz w:val="20"/>
          <w:szCs w:val="20"/>
          <w:color w:val="auto"/>
        </w:rPr>
      </w:pPr>
      <w:r>
        <w:rPr>
          <w:rFonts w:ascii="Arial" w:cs="Arial" w:eastAsia="Arial" w:hAnsi="Arial"/>
          <w:sz w:val="14"/>
          <w:szCs w:val="14"/>
          <w:color w:val="auto"/>
        </w:rPr>
        <w:t>In B cells, the activation of TLR7/8/9 signaling through SLC15A4 induces activation and differentiation into two disease-relevant B cell subsets, plasmablasts and age-associated B cells, or ABCs, both of which are pathogenic and increased in autoimmune diseases such as SLE. Importantly, both B cell subsets are able to produce autoantibodies against nucleic acids and other self-antigens that propagate the autoimmune response through immune complexes. This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7" w:name="page138"/>
    <w:bookmarkEnd w:id="13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79"/>
        <w:spacing w:after="0" w:line="282" w:lineRule="auto"/>
        <w:rPr>
          <w:sz w:val="20"/>
          <w:szCs w:val="20"/>
          <w:color w:val="auto"/>
        </w:rPr>
      </w:pPr>
      <w:r>
        <w:rPr>
          <w:rFonts w:ascii="Arial" w:cs="Arial" w:eastAsia="Arial" w:hAnsi="Arial"/>
          <w:sz w:val="14"/>
          <w:szCs w:val="14"/>
          <w:color w:val="auto"/>
        </w:rPr>
        <w:t>establishes a feed-forward loop. B cell activation drives autoantibody production, which enhances nucleic acid trafficking to the endolysosome, thereby sustaining TLR7/8/9 activation across multiple cell types.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8" w:name="page139"/>
    <w:bookmarkEnd w:id="13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2100" w:right="20"/>
        <w:spacing w:after="0" w:line="291" w:lineRule="auto"/>
        <w:rPr>
          <w:sz w:val="20"/>
          <w:szCs w:val="20"/>
          <w:color w:val="auto"/>
        </w:rPr>
      </w:pPr>
      <w:r>
        <w:rPr>
          <w:rFonts w:ascii="Arial" w:cs="Arial" w:eastAsia="Arial" w:hAnsi="Arial"/>
          <w:sz w:val="14"/>
          <w:szCs w:val="14"/>
          <w:b w:val="1"/>
          <w:bCs w:val="1"/>
          <w:color w:val="auto"/>
        </w:rPr>
        <w:t>SLC15A4 Initiates Pathogenic B Cell Responses Alongside Myeloid-Derived Interferon and Cytokine Production, Linking Innate Immune Activation to Sustained Adaptive Immune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88900</wp:posOffset>
            </wp:positionV>
            <wp:extent cx="4909820" cy="1786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09820" cy="178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759" w:firstLine="443"/>
        <w:spacing w:after="0" w:line="261" w:lineRule="auto"/>
        <w:rPr>
          <w:sz w:val="20"/>
          <w:szCs w:val="20"/>
          <w:color w:val="auto"/>
        </w:rPr>
      </w:pPr>
      <w:r>
        <w:rPr>
          <w:rFonts w:ascii="Arial" w:cs="Arial" w:eastAsia="Arial" w:hAnsi="Arial"/>
          <w:sz w:val="14"/>
          <w:szCs w:val="14"/>
          <w:color w:val="auto"/>
        </w:rPr>
        <w:t>Multiple murine models have demonstrated that signaling from TLR7 and TLR9 through the SLC15A4-TASL-IRF5 axis is necessary for lupus-like disease. The table below summarizes third-party studies evaluating knockout of each of these genes in different models of lupus and showing they are protective against disease development.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Overview of Third-Party Studies Using Knockout Animals in Murine Lupus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132080</wp:posOffset>
            </wp:positionV>
            <wp:extent cx="4139565" cy="1807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139565" cy="180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right="699" w:firstLine="443"/>
        <w:spacing w:after="0" w:line="261" w:lineRule="auto"/>
        <w:rPr>
          <w:sz w:val="20"/>
          <w:szCs w:val="20"/>
          <w:color w:val="auto"/>
        </w:rPr>
      </w:pPr>
      <w:r>
        <w:rPr>
          <w:rFonts w:ascii="Arial" w:cs="Arial" w:eastAsia="Arial" w:hAnsi="Arial"/>
          <w:sz w:val="14"/>
          <w:szCs w:val="14"/>
          <w:color w:val="auto"/>
        </w:rPr>
        <w:t>In addition, knockout studies conducted by third parties have shown that mice lacking SLC15A4 are phenotypically normal, with no development defects, changes in cell type distribution, or changes in serum clinical chemistry. Based on these third-party studies, we believe that targeting SLC15A4 pharmacologically has the potential to be safe and effective.</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TLR7/8/9 Signaling Is a Driver in Lupus and Multiple Other Autoimmune Diseases in Humans</w:t>
      </w:r>
    </w:p>
    <w:p>
      <w:pPr>
        <w:spacing w:after="0" w:line="84"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Breakdown of tolerance to nucleic acids and autoantibodies is central to the pathogenesis of multiple autoimmune diseases. Human genetic studies provide support for a pathogenic role of TLR7/8/9 pathway activation in SLE. Genetic variants, including gain-of-function mutations and common polymorphisms in genes that encode proteins across the pathway, including SLC15A4, are associated with increased risk of developing SLE and disease severity. The figure below details these genetic associations, consistent with the role that the TLR7/8/9-SLC15A4-IRF5 signaling pathway contributes to lupus.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9" w:name="page140"/>
    <w:bookmarkEnd w:id="13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Overview of Third-Party Studies Using Human Genetics to Validate the Role of TLR7/8/9 Signaling in Lupus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111760</wp:posOffset>
            </wp:positionV>
            <wp:extent cx="4643755" cy="19500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43755" cy="195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839" w:firstLine="443"/>
        <w:spacing w:after="0" w:line="250" w:lineRule="auto"/>
        <w:rPr>
          <w:sz w:val="20"/>
          <w:szCs w:val="20"/>
          <w:color w:val="auto"/>
        </w:rPr>
      </w:pPr>
      <w:r>
        <w:rPr>
          <w:rFonts w:ascii="Arial" w:cs="Arial" w:eastAsia="Arial" w:hAnsi="Arial"/>
          <w:sz w:val="14"/>
          <w:szCs w:val="14"/>
          <w:color w:val="auto"/>
        </w:rPr>
        <w:t>Therapeutic targeting of signaling molecules upstream, or downstream, of SLC15A4 has clinical benefit. For example, inhibitors of TLR7/8, such as enpatoran, have shown benefit in randomized and placebo-controlled phase 2 trials in CLE. Anifrolumab, which blocks interferon, is approved for the treatment of SLE. Collectively, we believe the results from third-party preclinical studies and clinical trials support our thesis that TLR7/8/9 signaling is a driver of SLE, CLE, and potentially lupus nephritis, or LN.</w:t>
      </w:r>
    </w:p>
    <w:p>
      <w:pPr>
        <w:spacing w:after="0" w:line="53" w:lineRule="exact"/>
        <w:rPr>
          <w:sz w:val="20"/>
          <w:szCs w:val="20"/>
          <w:color w:val="auto"/>
        </w:rPr>
      </w:pPr>
    </w:p>
    <w:p>
      <w:pPr>
        <w:ind w:left="640" w:right="759" w:firstLine="443"/>
        <w:spacing w:after="0" w:line="261" w:lineRule="auto"/>
        <w:rPr>
          <w:sz w:val="20"/>
          <w:szCs w:val="20"/>
          <w:color w:val="auto"/>
        </w:rPr>
      </w:pPr>
      <w:r>
        <w:rPr>
          <w:rFonts w:ascii="Arial" w:cs="Arial" w:eastAsia="Arial" w:hAnsi="Arial"/>
          <w:sz w:val="14"/>
          <w:szCs w:val="14"/>
          <w:color w:val="auto"/>
        </w:rPr>
        <w:t>The table below summarizes publicly available evidence for our view that increased TLR7/8/9 signaling is a contributing factor in the development of lupus and other autoimmune diseases based on the presence of autoantibodies against nucleic acids, increased interferon signaling, and pathogenic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-16510</wp:posOffset>
            </wp:positionV>
            <wp:extent cx="4821555" cy="23799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21555" cy="237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Limitations of Existing Therapies</w:t>
      </w:r>
    </w:p>
    <w:p>
      <w:pPr>
        <w:spacing w:after="0" w:line="84" w:lineRule="exact"/>
        <w:rPr>
          <w:sz w:val="20"/>
          <w:szCs w:val="20"/>
          <w:color w:val="auto"/>
        </w:rPr>
      </w:pPr>
    </w:p>
    <w:p>
      <w:pPr>
        <w:ind w:left="640" w:right="1219" w:firstLine="438"/>
        <w:spacing w:after="0" w:line="254" w:lineRule="auto"/>
        <w:rPr>
          <w:sz w:val="20"/>
          <w:szCs w:val="20"/>
          <w:color w:val="auto"/>
        </w:rPr>
      </w:pPr>
      <w:r>
        <w:rPr>
          <w:rFonts w:ascii="Arial" w:cs="Arial" w:eastAsia="Arial" w:hAnsi="Arial"/>
          <w:sz w:val="14"/>
          <w:szCs w:val="14"/>
          <w:color w:val="auto"/>
        </w:rPr>
        <w:t>Several therapeutic strategies have been pursued to interrupt nucleic acid-driven inflammatory signaling in autoimmune disease, including inhibition of TLR7/8, blockade of interferon, inhibition or degradation of IRF5, and depletion of pathogenic B cells. We believe each of these existing approaches has inherent limitations that have constrained its effectiveness or applicability across patient populations.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0" w:name="page141"/>
    <w:bookmarkEnd w:id="14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80"/>
        <w:spacing w:after="0"/>
        <w:rPr>
          <w:sz w:val="20"/>
          <w:szCs w:val="20"/>
          <w:color w:val="auto"/>
        </w:rPr>
      </w:pPr>
      <w:r>
        <w:rPr>
          <w:rFonts w:ascii="Arial" w:cs="Arial" w:eastAsia="Arial" w:hAnsi="Arial"/>
          <w:sz w:val="14"/>
          <w:szCs w:val="14"/>
          <w:i w:val="1"/>
          <w:iCs w:val="1"/>
          <w:u w:val="single" w:color="auto"/>
          <w:color w:val="auto"/>
        </w:rPr>
        <w:t>TLR7/8 Inhibitors</w:t>
      </w:r>
    </w:p>
    <w:p>
      <w:pPr>
        <w:spacing w:after="0" w:line="84" w:lineRule="exact"/>
        <w:rPr>
          <w:sz w:val="20"/>
          <w:szCs w:val="20"/>
          <w:color w:val="auto"/>
        </w:rPr>
      </w:pPr>
    </w:p>
    <w:p>
      <w:pPr>
        <w:ind w:left="640" w:right="799" w:firstLine="438"/>
        <w:spacing w:after="0" w:line="250" w:lineRule="auto"/>
        <w:rPr>
          <w:sz w:val="20"/>
          <w:szCs w:val="20"/>
          <w:color w:val="auto"/>
        </w:rPr>
      </w:pPr>
      <w:r>
        <w:rPr>
          <w:rFonts w:ascii="Arial" w:cs="Arial" w:eastAsia="Arial" w:hAnsi="Arial"/>
          <w:sz w:val="14"/>
          <w:szCs w:val="14"/>
          <w:color w:val="auto"/>
        </w:rPr>
        <w:t>We are aware of at least two small molecules in third-party clinical development that are designed to inhibit both TLR7 and TLR8, enpatoran and afimetoran. Each of these product candidates has generated positive efficacy data in phase 1b or 2a trials in CLE. However, the trials that tested enpatoran in patients with systemic lupus did not reach their primary efficacy endpoint. We believe this lack of efficacy results from the inability of these compounds to inhibit TLR9, which allows DNA to continue to drive activation of the TLR-SLC15A4-IRF5 signaling pathway and sustain disease.</w:t>
      </w: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4"/>
          <w:szCs w:val="14"/>
          <w:i w:val="1"/>
          <w:iCs w:val="1"/>
          <w:u w:val="single" w:color="auto"/>
          <w:color w:val="auto"/>
        </w:rPr>
        <w:t>Interferon Blockers</w:t>
      </w:r>
    </w:p>
    <w:p>
      <w:pPr>
        <w:spacing w:after="0" w:line="84" w:lineRule="exact"/>
        <w:rPr>
          <w:sz w:val="20"/>
          <w:szCs w:val="20"/>
          <w:color w:val="auto"/>
        </w:rPr>
      </w:pPr>
    </w:p>
    <w:p>
      <w:pPr>
        <w:ind w:left="640" w:right="759" w:firstLine="443"/>
        <w:spacing w:after="0" w:line="248" w:lineRule="auto"/>
        <w:rPr>
          <w:sz w:val="20"/>
          <w:szCs w:val="20"/>
          <w:color w:val="auto"/>
        </w:rPr>
      </w:pPr>
      <w:r>
        <w:rPr>
          <w:rFonts w:ascii="Arial" w:cs="Arial" w:eastAsia="Arial" w:hAnsi="Arial"/>
          <w:sz w:val="14"/>
          <w:szCs w:val="14"/>
          <w:color w:val="auto"/>
        </w:rPr>
        <w:t>One interferon blocker, anifrolumab, is currently approved for the treatment of SLE; however, in the phase 3 trials that supported approval of this drug, a majority of the patients treated did not reach a response based on the British Isles Lupus Assessment Group (BILAG)-based Composite Lupus Assessment (BICLA) of response. Moreover, the placebo-adjusted BILAG response reported from phase 3 trials was only 16%. We believe this is due to interferon blockers not reducing other proinflammatory cytokines induced by TLR7/8/9, as well as their potentially limited effect on pathogenic B cell subtypes, including ABC cells and plasmablasts.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4"/>
          <w:szCs w:val="14"/>
          <w:i w:val="1"/>
          <w:iCs w:val="1"/>
          <w:u w:val="single" w:color="auto"/>
          <w:color w:val="auto"/>
        </w:rPr>
        <w:t>IRF5-Targeted Therapies</w:t>
      </w:r>
    </w:p>
    <w:p>
      <w:pPr>
        <w:spacing w:after="0" w:line="84" w:lineRule="exact"/>
        <w:rPr>
          <w:sz w:val="20"/>
          <w:szCs w:val="20"/>
          <w:color w:val="auto"/>
        </w:rPr>
      </w:pPr>
    </w:p>
    <w:p>
      <w:pPr>
        <w:ind w:left="640" w:right="759" w:firstLine="438"/>
        <w:spacing w:after="0" w:line="247" w:lineRule="auto"/>
        <w:rPr>
          <w:sz w:val="20"/>
          <w:szCs w:val="20"/>
          <w:color w:val="auto"/>
        </w:rPr>
      </w:pPr>
      <w:r>
        <w:rPr>
          <w:rFonts w:ascii="Arial" w:cs="Arial" w:eastAsia="Arial" w:hAnsi="Arial"/>
          <w:sz w:val="14"/>
          <w:szCs w:val="14"/>
          <w:color w:val="auto"/>
        </w:rPr>
        <w:t>We are not aware of any existing clinical or safety data supporting the targeting of IRF5 to treat disease. We are aware of at least one IRF5-targeted program, KT-579, being developed by a public third-party company that entered clinical development in the first half of 2026. We believe that targeting IRF5 may be an effective approach to blocking the TLR-SLC15A4-IRF5 signaling pathway; however, IRF5 has also been shown in preclinical studies to mediate mechanisms of host defense against bacteria, fungi, and viruses independent of TLR7/8/9. We believe IRF5 inhibition represents a complementary strategy to target the interferon pathway alongside our wholly owned SLC15A4 inhibitor as different diseases, or subgroups thereof, may benefit from inhibition of additional activators of IRF5.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111760</wp:posOffset>
            </wp:positionV>
            <wp:extent cx="4698365" cy="29527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98365" cy="295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80"/>
        <w:spacing w:after="0"/>
        <w:rPr>
          <w:sz w:val="20"/>
          <w:szCs w:val="20"/>
          <w:color w:val="auto"/>
        </w:rPr>
      </w:pPr>
      <w:r>
        <w:rPr>
          <w:rFonts w:ascii="Arial" w:cs="Arial" w:eastAsia="Arial" w:hAnsi="Arial"/>
          <w:sz w:val="14"/>
          <w:szCs w:val="14"/>
          <w:i w:val="1"/>
          <w:iCs w:val="1"/>
          <w:u w:val="single" w:color="auto"/>
          <w:color w:val="auto"/>
        </w:rPr>
        <w:t>B Cell-Directed CAR-T Therapy</w:t>
      </w:r>
    </w:p>
    <w:p>
      <w:pPr>
        <w:spacing w:after="0" w:line="84" w:lineRule="exact"/>
        <w:rPr>
          <w:sz w:val="20"/>
          <w:szCs w:val="20"/>
          <w:color w:val="auto"/>
        </w:rPr>
      </w:pPr>
    </w:p>
    <w:p>
      <w:pPr>
        <w:ind w:left="640" w:right="799" w:firstLine="443"/>
        <w:spacing w:after="0" w:line="261" w:lineRule="auto"/>
        <w:rPr>
          <w:sz w:val="20"/>
          <w:szCs w:val="20"/>
          <w:color w:val="auto"/>
        </w:rPr>
      </w:pPr>
      <w:r>
        <w:rPr>
          <w:rFonts w:ascii="Arial" w:cs="Arial" w:eastAsia="Arial" w:hAnsi="Arial"/>
          <w:sz w:val="14"/>
          <w:szCs w:val="14"/>
          <w:color w:val="auto"/>
        </w:rPr>
        <w:t>We are aware of multiple B cell-directed CAR-T therapies currently in clinical development. Several of these drug candidates have generated positive efficacy data for the treatment of SLE and other autoimmune diseases. However, many of these trials have generated results that raise concern about the potential for severe toxicity, including cytokine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1" w:name="page142"/>
    <w:bookmarkEnd w:id="14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spacing w:after="0" w:line="246" w:lineRule="auto"/>
        <w:rPr>
          <w:sz w:val="20"/>
          <w:szCs w:val="20"/>
          <w:color w:val="auto"/>
        </w:rPr>
      </w:pPr>
      <w:r>
        <w:rPr>
          <w:rFonts w:ascii="Arial" w:cs="Arial" w:eastAsia="Arial" w:hAnsi="Arial"/>
          <w:sz w:val="14"/>
          <w:szCs w:val="14"/>
          <w:color w:val="auto"/>
        </w:rPr>
        <w:t xml:space="preserve">release syndrome and neurotoxicity. In addition, CAR-T requires lymphocyte-depleting conditioning regimens and there are known infection risks associated with hypogammaglobulinemia that results from these approaches. We believe these risks, together with the high cost of delivery and burden to patients involved with CAR-T therapy, will limit the use of this therapeutic approach for patients with life threatening or highly morbid autoimmune disease based on risk-benefit-cost assessments.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CAR-T approaches may address some of these limitations and we are aware of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CAR-T therapies currently in late preclinical or early clinical development. However, the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CAR-T IND was only cleared for human testing by the FDA in 2024, so insufficient data currently exists to assess the safety, efficacy, or durability of this approach.</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Our Solution</w:t>
      </w:r>
    </w:p>
    <w:p>
      <w:pPr>
        <w:spacing w:after="0" w:line="84"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OD-002 is designed to be an oral therapy that is appropriate for broad use across patients suffering from interferonopathies and other B cell-mediated autoimmune diseases driven by TLR7, TLR8, and TLR9 activation by nucleic acid autoantigens. By blocking SLC15A4 binding with TASL, which is critical to pathogenic signaling triggered by RNA and DNA through TLR7, TLR8, or TLR9, we believe we can address multiple mediators of autoimmune disease, including interferon and cytokine production, and B cell subtypes (while sparing healthy B cells), and the production of autoantibodies. OD-002 and structurally related compounds developed within this program are designed to block activation of IRF5 by TLR7/8/9 while sparing activation of IRF5 by bacteria, fungi, or viruses, that activate IRF5 independent of SLC15A4.</w:t>
      </w:r>
    </w:p>
    <w:p>
      <w:pPr>
        <w:spacing w:after="0" w:line="30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Summary of Our Preclinical Data</w:t>
      </w:r>
    </w:p>
    <w:p>
      <w:pPr>
        <w:spacing w:after="0" w:line="84" w:lineRule="exact"/>
        <w:rPr>
          <w:sz w:val="20"/>
          <w:szCs w:val="20"/>
          <w:color w:val="auto"/>
        </w:rPr>
      </w:pPr>
    </w:p>
    <w:p>
      <w:pPr>
        <w:ind w:left="640" w:right="759" w:firstLine="438"/>
        <w:spacing w:after="0" w:line="251" w:lineRule="auto"/>
        <w:rPr>
          <w:sz w:val="20"/>
          <w:szCs w:val="20"/>
          <w:color w:val="auto"/>
        </w:rPr>
      </w:pPr>
      <w:r>
        <w:rPr>
          <w:rFonts w:ascii="Arial" w:cs="Arial" w:eastAsia="Arial" w:hAnsi="Arial"/>
          <w:sz w:val="14"/>
          <w:szCs w:val="14"/>
          <w:color w:val="auto"/>
        </w:rPr>
        <w:t>We have conducted several preclinical studies to examine the role of SLC15A4 and OD-002, and we believe our preclinical data supports the potential of OD-002 as an oral treatment to block TLR7/8/9-mediated pathogenic inflammatory responses. Our preclinical findings include data generated with OD-002 and a structurally related precursor compound, referred to as “OD-002 precursor,” which together support the mechanism and therapeutic potential of SLC15A4 inhibition.</w:t>
      </w:r>
    </w:p>
    <w:p>
      <w:pPr>
        <w:spacing w:after="0" w:line="218"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In our preclinical studies, we observed that these compounds reduced the production of type I interferons and other proinflammatory cytokines, as well as the activation and differentiation of plasmablast and ABC subsets in response to TLR7/8/9 stimulation. The effects have been consistent across human cells collected from either healthy donors or patients with immune disease. Further, we observed the in vitro potency in human cells to be comparable with potency in murine cells. As a result, we have been able to develop PK-PD models to predict a potential efficacious dose in humans that we intend to use to inform our dose selection for a phase 1 clinical trial.</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 Vitro Results</w:t>
      </w:r>
    </w:p>
    <w:p>
      <w:pPr>
        <w:spacing w:after="0" w:line="84" w:lineRule="exact"/>
        <w:rPr>
          <w:sz w:val="20"/>
          <w:szCs w:val="20"/>
          <w:color w:val="auto"/>
        </w:rPr>
      </w:pPr>
    </w:p>
    <w:p>
      <w:pPr>
        <w:ind w:left="640" w:right="739" w:firstLine="438"/>
        <w:spacing w:after="0" w:line="261" w:lineRule="auto"/>
        <w:rPr>
          <w:sz w:val="20"/>
          <w:szCs w:val="20"/>
          <w:color w:val="auto"/>
        </w:rPr>
      </w:pPr>
      <w:r>
        <w:rPr>
          <w:rFonts w:ascii="Arial" w:cs="Arial" w:eastAsia="Arial" w:hAnsi="Arial"/>
          <w:sz w:val="14"/>
          <w:szCs w:val="14"/>
          <w:color w:val="auto"/>
        </w:rPr>
        <w:t>We understand at an atomic resolution how our product candidate OD-002 binds to human SLC15A4. In other experiments, we determined the binding affinity to be less than 1 nM, indicating the molecule binds to the target with high affinity.</w:t>
      </w:r>
    </w:p>
    <w:p>
      <w:pPr>
        <w:spacing w:after="0" w:line="44" w:lineRule="exact"/>
        <w:rPr>
          <w:sz w:val="20"/>
          <w:szCs w:val="20"/>
          <w:color w:val="auto"/>
        </w:rPr>
      </w:pPr>
    </w:p>
    <w:p>
      <w:pPr>
        <w:ind w:left="640" w:right="759" w:firstLine="438"/>
        <w:spacing w:after="0" w:line="226" w:lineRule="auto"/>
        <w:rPr>
          <w:sz w:val="20"/>
          <w:szCs w:val="20"/>
          <w:color w:val="auto"/>
        </w:rPr>
      </w:pPr>
      <w:r>
        <w:rPr>
          <w:rFonts w:ascii="Arial" w:cs="Arial" w:eastAsia="Arial" w:hAnsi="Arial"/>
          <w:sz w:val="14"/>
          <w:szCs w:val="14"/>
          <w:color w:val="auto"/>
        </w:rPr>
        <w:t>An additional study was conducted to determine if OD-002 binding to SLC15A4 can disrupt SLC15A4 binding with TASL. As shown in the figure below, OD-002 treatment disrupted the SLC15A4-TASL interaction with an IC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of 6.9 nM,</w:t>
      </w:r>
    </w:p>
    <w:p>
      <w:pPr>
        <w:ind w:left="640"/>
        <w:spacing w:after="0"/>
        <w:rPr>
          <w:sz w:val="20"/>
          <w:szCs w:val="20"/>
          <w:color w:val="auto"/>
        </w:rPr>
      </w:pPr>
      <w:r>
        <w:rPr>
          <w:rFonts w:ascii="Arial" w:cs="Arial" w:eastAsia="Arial" w:hAnsi="Arial"/>
          <w:sz w:val="14"/>
          <w:szCs w:val="14"/>
          <w:color w:val="auto"/>
        </w:rPr>
        <w:t>and we observed near complete inhibition at concentrations above 100 nM.</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2" w:name="page143"/>
    <w:bookmarkEnd w:id="14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OD-002 Inhibits SLC15A4-TASL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64135</wp:posOffset>
            </wp:positionV>
            <wp:extent cx="2379980" cy="1670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79980" cy="167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640" w:right="679"/>
        <w:spacing w:after="0" w:line="279" w:lineRule="auto"/>
        <w:rPr>
          <w:sz w:val="20"/>
          <w:szCs w:val="20"/>
          <w:color w:val="auto"/>
        </w:rPr>
      </w:pPr>
      <w:r>
        <w:rPr>
          <w:rFonts w:ascii="Arial" w:cs="Arial" w:eastAsia="Arial" w:hAnsi="Arial"/>
          <w:sz w:val="14"/>
          <w:szCs w:val="14"/>
          <w:i w:val="1"/>
          <w:iCs w:val="1"/>
          <w:color w:val="auto"/>
        </w:rPr>
        <w:t>SLC15A4 and TASL binding is measured by using a split-luciferase assay in cells transduced with SLC15A4-LgBiT and TASL-SmBiT.</w:t>
      </w:r>
    </w:p>
    <w:p>
      <w:pPr>
        <w:spacing w:after="0" w:line="32"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To test our hypothesis that SLC15A4 inhibition can block TLR7/8/9-induced cytokine production in human cells, we treated PBMCs with OD-002 or vehicle control and then stimulated with either R848 (a TLR7/8 agonist) or ODN-2395 (a TLR9 agonist). In addition, to understand the potential differentiation of blocking SLC15A4 as compared to blocking only TLR7/8, in the same experiment, we also treated cells with afimetoran and enpatoran, two clinical-stage TLR7/8 inhibitors.</w:t>
      </w:r>
    </w:p>
    <w:p>
      <w:pPr>
        <w:spacing w:after="0" w:line="49"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 xml:space="preserve">As shown in the graphs below, when PBMCs were stimulated with R848, afimetoran and enpatoran reduced production of </w:t>
      </w:r>
      <w:r>
        <w:rPr>
          <w:rFonts w:ascii="Arial" w:cs="Arial" w:eastAsia="Arial" w:hAnsi="Arial"/>
          <w:sz w:val="14"/>
          <w:szCs w:val="14"/>
          <w:i w:val="1"/>
          <w:iCs w:val="1"/>
          <w:color w:val="auto"/>
        </w:rPr>
        <w:t>IFNß,</w:t>
      </w:r>
      <w:r>
        <w:rPr>
          <w:rFonts w:ascii="Arial" w:cs="Arial" w:eastAsia="Arial" w:hAnsi="Arial"/>
          <w:sz w:val="14"/>
          <w:szCs w:val="14"/>
          <w:color w:val="auto"/>
        </w:rPr>
        <w:t xml:space="preserve"> but in cells from some human donors to a lesser degree than observed with OD-002. However, when PBMCs were stimulated with ODN-2395, only OD-002 inhibited the production of </w:t>
      </w:r>
      <w:r>
        <w:rPr>
          <w:rFonts w:ascii="Arial" w:cs="Arial" w:eastAsia="Arial" w:hAnsi="Arial"/>
          <w:sz w:val="14"/>
          <w:szCs w:val="14"/>
          <w:i w:val="1"/>
          <w:iCs w:val="1"/>
          <w:color w:val="auto"/>
        </w:rPr>
        <w:t>IFNß</w:t>
      </w:r>
      <w:r>
        <w:rPr>
          <w:rFonts w:ascii="Arial" w:cs="Arial" w:eastAsia="Arial" w:hAnsi="Arial"/>
          <w:sz w:val="14"/>
          <w:szCs w:val="14"/>
          <w:color w:val="auto"/>
        </w:rPr>
        <w:t>. This data has demonstrated that SLC15A4 inhibitors are effective in blocking TLR9 signaling, which may result in better efficacy compared to TLR7/8 inhibitors because DNA, which signals through TLR9, is recognized as an important disease driver in patients with SLE and other immune diseases.</w:t>
      </w:r>
    </w:p>
    <w:p>
      <w:pPr>
        <w:spacing w:after="0" w:line="140"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Effect of OD-002 or TLR7/8 Inhibition on Interferon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132080</wp:posOffset>
            </wp:positionV>
            <wp:extent cx="4909820" cy="21412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09820" cy="214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640" w:right="699"/>
        <w:spacing w:after="0" w:line="279" w:lineRule="auto"/>
        <w:rPr>
          <w:sz w:val="20"/>
          <w:szCs w:val="20"/>
          <w:color w:val="auto"/>
        </w:rPr>
      </w:pPr>
      <w:r>
        <w:rPr>
          <w:rFonts w:ascii="Arial" w:cs="Arial" w:eastAsia="Arial" w:hAnsi="Arial"/>
          <w:sz w:val="14"/>
          <w:szCs w:val="14"/>
          <w:i w:val="1"/>
          <w:iCs w:val="1"/>
          <w:color w:val="auto"/>
        </w:rPr>
        <w:t>PBMCs from eight healthy donors were pre-treated with OD-002, afimetoran, enpatoran, or vehicle control and stimulated with either R848 or ODN-2395 prior to measuring IFNß by qPCR.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3" w:name="page144"/>
    <w:bookmarkEnd w:id="14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In another study, we compared the relative potency of OD-002 inhibition of R848 or ODN-2395-induced cytokine release on PBMCs from healthy donors, patients with lupus, and across purified immune cell types isolated from the blood of healthy donors. Additionally, cells were also stimulated with either a STING agonist or a TLR3 agonist to establish the specificity of OD-002 for inhibiting TLR7-, TLR8-, and TLR9-induced cytokines. STING and TLR3 are two other innate immune receptors important to host defense against viruses and bacteria, respectively.</w:t>
      </w:r>
    </w:p>
    <w:p>
      <w:pPr>
        <w:spacing w:after="0" w:line="53" w:lineRule="exact"/>
        <w:rPr>
          <w:sz w:val="20"/>
          <w:szCs w:val="20"/>
          <w:color w:val="auto"/>
        </w:rPr>
      </w:pPr>
    </w:p>
    <w:p>
      <w:pPr>
        <w:ind w:left="640" w:right="839" w:firstLine="443"/>
        <w:spacing w:after="0" w:line="230" w:lineRule="auto"/>
        <w:rPr>
          <w:sz w:val="20"/>
          <w:szCs w:val="20"/>
          <w:color w:val="auto"/>
        </w:rPr>
      </w:pPr>
      <w:r>
        <w:rPr>
          <w:rFonts w:ascii="Arial" w:cs="Arial" w:eastAsia="Arial" w:hAnsi="Arial"/>
          <w:sz w:val="14"/>
          <w:szCs w:val="14"/>
          <w:color w:val="auto"/>
        </w:rPr>
        <w:t>As set forth in the table below, in response to stimulation with R848 or ODN-2395, OD-002 had comparable potency in PBMCs from healthy donors or SLE patients and across immune cell types. Irrespective of the cytokine measured, IC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values ranged from 1.1–10.4 nM. Based on these results, we believe that the clinical exposure required</w:t>
      </w:r>
    </w:p>
    <w:p>
      <w:pPr>
        <w:spacing w:after="0" w:line="1" w:lineRule="exact"/>
        <w:rPr>
          <w:sz w:val="20"/>
          <w:szCs w:val="20"/>
          <w:color w:val="auto"/>
        </w:rPr>
      </w:pPr>
    </w:p>
    <w:p>
      <w:pPr>
        <w:ind w:left="640" w:right="859"/>
        <w:spacing w:after="0" w:line="217" w:lineRule="auto"/>
        <w:rPr>
          <w:sz w:val="20"/>
          <w:szCs w:val="20"/>
          <w:color w:val="auto"/>
        </w:rPr>
      </w:pPr>
      <w:r>
        <w:rPr>
          <w:rFonts w:ascii="Arial" w:cs="Arial" w:eastAsia="Arial" w:hAnsi="Arial"/>
          <w:sz w:val="14"/>
          <w:szCs w:val="14"/>
          <w:color w:val="auto"/>
        </w:rPr>
        <w:t>for efficacy may be similar between different patients and across diseases in which there are differences in the immune cell types accounting for TLR7-, TLR8-, and TLR9-induced cytokines. Since the IC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for inhibiting STING or TLR3 is &gt;</w:t>
      </w:r>
    </w:p>
    <w:p>
      <w:pPr>
        <w:spacing w:after="0" w:line="1" w:lineRule="exact"/>
        <w:rPr>
          <w:sz w:val="20"/>
          <w:szCs w:val="20"/>
          <w:color w:val="auto"/>
        </w:rPr>
      </w:pPr>
    </w:p>
    <w:p>
      <w:pPr>
        <w:ind w:left="640" w:right="699"/>
        <w:spacing w:after="0" w:line="250" w:lineRule="auto"/>
        <w:rPr>
          <w:sz w:val="20"/>
          <w:szCs w:val="20"/>
          <w:color w:val="auto"/>
        </w:rPr>
      </w:pPr>
      <w:r>
        <w:rPr>
          <w:rFonts w:ascii="Arial" w:cs="Arial" w:eastAsia="Arial" w:hAnsi="Arial"/>
          <w:sz w:val="14"/>
          <w:szCs w:val="14"/>
          <w:color w:val="auto"/>
        </w:rPr>
        <w:t>10,000 nM, we believe that the clinically efficacious dose of OD-002 has the potential to result in exposure levels that selectively block TLR7-, TLR8-, and TLR9-induced inflammation, while sparing immune responses triggered by viruses or bacteria through STING and TLR3, respectively, thus limiting risk of infection due to adverse immune suppression.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4" w:name="page145"/>
    <w:bookmarkEnd w:id="14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640" w:right="699"/>
        <w:spacing w:after="0" w:line="291" w:lineRule="auto"/>
        <w:rPr>
          <w:sz w:val="20"/>
          <w:szCs w:val="20"/>
          <w:color w:val="auto"/>
        </w:rPr>
      </w:pPr>
      <w:r>
        <w:rPr>
          <w:rFonts w:ascii="Arial" w:cs="Arial" w:eastAsia="Arial" w:hAnsi="Arial"/>
          <w:sz w:val="14"/>
          <w:szCs w:val="14"/>
          <w:b w:val="1"/>
          <w:bCs w:val="1"/>
          <w:color w:val="auto"/>
        </w:rPr>
        <w:t>OD-002 Selectively Blocks Cytokine Production Induced by TLR7/8/9 Agonists Across Disease-Relevant Cell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88900</wp:posOffset>
            </wp:positionV>
            <wp:extent cx="4043680" cy="29051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43680" cy="290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640" w:right="659"/>
        <w:spacing w:after="0" w:line="259" w:lineRule="auto"/>
        <w:rPr>
          <w:sz w:val="20"/>
          <w:szCs w:val="20"/>
          <w:color w:val="auto"/>
        </w:rPr>
      </w:pPr>
      <w:r>
        <w:rPr>
          <w:rFonts w:ascii="Arial" w:cs="Arial" w:eastAsia="Arial" w:hAnsi="Arial"/>
          <w:sz w:val="14"/>
          <w:szCs w:val="14"/>
          <w:i w:val="1"/>
          <w:iCs w:val="1"/>
          <w:color w:val="auto"/>
        </w:rPr>
        <w:t>For inflammatory cytokine production and selectivity counterscreens, the indicated cell types were pre-treated with OD-002 for 24 hours and then stimulated with agonist of indicated receptor, with cytokine readout measured at a time point between four to 24 hours.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 Vivo Results</w:t>
      </w:r>
    </w:p>
    <w:p>
      <w:pPr>
        <w:spacing w:after="0" w:line="84" w:lineRule="exact"/>
        <w:rPr>
          <w:sz w:val="20"/>
          <w:szCs w:val="20"/>
          <w:color w:val="auto"/>
        </w:rPr>
      </w:pPr>
    </w:p>
    <w:p>
      <w:pPr>
        <w:ind w:left="640" w:right="679" w:firstLine="443"/>
        <w:spacing w:after="0" w:line="254" w:lineRule="auto"/>
        <w:rPr>
          <w:sz w:val="20"/>
          <w:szCs w:val="20"/>
          <w:color w:val="auto"/>
        </w:rPr>
      </w:pPr>
      <w:r>
        <w:rPr>
          <w:rFonts w:ascii="Arial" w:cs="Arial" w:eastAsia="Arial" w:hAnsi="Arial"/>
          <w:sz w:val="14"/>
          <w:szCs w:val="14"/>
          <w:color w:val="auto"/>
        </w:rPr>
        <w:t xml:space="preserve">To establish the correlation between in vitro and in vivo potency, we conducted a PK/PD study using R848 as a stimulus to activate TLR7/8 signaling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In this model, 10 healthy wild-type mice were treated once daily with OD-002 for six days to represent steady-state dosing and then were stimulated with R848 administered intraperitoneally 23 hours after the last dose of OD-002.</w:t>
      </w:r>
    </w:p>
    <w:p>
      <w:pPr>
        <w:spacing w:after="0" w:line="49" w:lineRule="exact"/>
        <w:rPr>
          <w:sz w:val="20"/>
          <w:szCs w:val="20"/>
          <w:color w:val="auto"/>
        </w:rPr>
      </w:pPr>
    </w:p>
    <w:p>
      <w:pPr>
        <w:ind w:left="640" w:right="659" w:firstLine="443"/>
        <w:spacing w:after="0" w:line="239" w:lineRule="auto"/>
        <w:rPr>
          <w:sz w:val="20"/>
          <w:szCs w:val="20"/>
          <w:color w:val="auto"/>
        </w:rPr>
      </w:pPr>
      <w:r>
        <w:rPr>
          <w:rFonts w:ascii="Arial" w:cs="Arial" w:eastAsia="Arial" w:hAnsi="Arial"/>
          <w:sz w:val="14"/>
          <w:szCs w:val="14"/>
          <w:color w:val="auto"/>
        </w:rPr>
        <w:t>After R848 stimulation, plasma was collected for PK and measurement of IFN</w:t>
      </w: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was assessed by ELISA. Doses administered daily were 0.03 mg/kg, 0.1 mg/kg, 0.3 mg/kg, 1 mg/kg, and 3 mg/kg. The graph below at left shows the statistically significant reduction of IFN</w:t>
      </w: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levels observed starting at 0.03 mg/kg, and near complete inhibition observed at 3 mg/kg. The graph below at right shows the free plasma concentration 24 hours after the last dose. The free drug concentration at the dose that resulted in 50% inhibition in vivo is comparable to the IC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in PBMCs, establishing an in</w:t>
      </w:r>
    </w:p>
    <w:p>
      <w:pPr>
        <w:spacing w:after="0" w:line="2" w:lineRule="exact"/>
        <w:rPr>
          <w:sz w:val="20"/>
          <w:szCs w:val="20"/>
          <w:color w:val="auto"/>
        </w:rPr>
      </w:pPr>
    </w:p>
    <w:p>
      <w:pPr>
        <w:ind w:left="640" w:right="679"/>
        <w:spacing w:after="0" w:line="250" w:lineRule="auto"/>
        <w:rPr>
          <w:sz w:val="20"/>
          <w:szCs w:val="20"/>
          <w:color w:val="auto"/>
        </w:rPr>
      </w:pPr>
      <w:r>
        <w:rPr>
          <w:rFonts w:ascii="Arial" w:cs="Arial" w:eastAsia="Arial" w:hAnsi="Arial"/>
          <w:sz w:val="14"/>
          <w:szCs w:val="14"/>
          <w:color w:val="auto"/>
        </w:rPr>
        <w:t>vitro-in vivo correlation. Based on this data, we are confident that in vivo SLC15A4 inhibition can block production of type I interferon, a disease-relevant cytokine. Moreover, the data establishes an exposure of free drug required to achieve maximal target inhibition.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5" w:name="page146"/>
    <w:bookmarkEnd w:id="14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Effect of OD-002 on IFN</w:t>
      </w:r>
      <w:r>
        <w:rPr>
          <w:rFonts w:ascii="Times New Roman" w:cs="Times New Roman" w:eastAsia="Times New Roman" w:hAnsi="Times New Roman"/>
          <w:sz w:val="14"/>
          <w:szCs w:val="14"/>
          <w:b w:val="1"/>
          <w:bCs w:val="1"/>
          <w:color w:val="auto"/>
        </w:rPr>
        <w:t>a</w:t>
      </w:r>
      <w:r>
        <w:rPr>
          <w:rFonts w:ascii="Arial" w:cs="Arial" w:eastAsia="Arial" w:hAnsi="Arial"/>
          <w:sz w:val="14"/>
          <w:szCs w:val="14"/>
          <w:b w:val="1"/>
          <w:bCs w:val="1"/>
          <w:color w:val="auto"/>
        </w:rPr>
        <w:t xml:space="preserve"> Production Induced by TLR7/8 Agonism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139700</wp:posOffset>
            </wp:positionV>
            <wp:extent cx="4848860" cy="19843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48860" cy="198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640" w:right="699"/>
        <w:spacing w:after="0" w:line="267" w:lineRule="auto"/>
        <w:rPr>
          <w:sz w:val="20"/>
          <w:szCs w:val="20"/>
          <w:color w:val="auto"/>
        </w:rPr>
      </w:pPr>
      <w:r>
        <w:rPr>
          <w:rFonts w:ascii="Arial" w:cs="Arial" w:eastAsia="Arial" w:hAnsi="Arial"/>
          <w:sz w:val="14"/>
          <w:szCs w:val="14"/>
          <w:i w:val="1"/>
          <w:iCs w:val="1"/>
          <w:color w:val="auto"/>
        </w:rPr>
        <w:t>C57BL mice were treated once daily for six days to achieve steady-state levels and then stimulated with R848 (TLR7/8 agonist) one hour after R848 stimulation; plasma was analyzed for PK and IFN</w:t>
      </w:r>
      <w:r>
        <w:rPr>
          <w:rFonts w:ascii="Times New Roman" w:cs="Times New Roman" w:eastAsia="Times New Roman" w:hAnsi="Times New Roman"/>
          <w:sz w:val="14"/>
          <w:szCs w:val="14"/>
          <w:color w:val="auto"/>
        </w:rPr>
        <w:t>a</w:t>
      </w:r>
      <w:r>
        <w:rPr>
          <w:rFonts w:ascii="Arial" w:cs="Arial" w:eastAsia="Arial" w:hAnsi="Arial"/>
          <w:sz w:val="14"/>
          <w:szCs w:val="14"/>
          <w:i w:val="1"/>
          <w:iCs w:val="1"/>
          <w:color w:val="auto"/>
        </w:rPr>
        <w:t>; vehicle and OD-002 treatment groups included 10 mice per group; control group included 5 mice; **** = p &lt; 0.0001.</w:t>
      </w:r>
    </w:p>
    <w:p>
      <w:pPr>
        <w:spacing w:after="0" w:line="40" w:lineRule="exact"/>
        <w:rPr>
          <w:sz w:val="20"/>
          <w:szCs w:val="20"/>
          <w:color w:val="auto"/>
        </w:rPr>
      </w:pPr>
    </w:p>
    <w:p>
      <w:pPr>
        <w:ind w:left="640" w:right="859" w:firstLine="443"/>
        <w:spacing w:after="0" w:line="261" w:lineRule="auto"/>
        <w:rPr>
          <w:sz w:val="20"/>
          <w:szCs w:val="20"/>
          <w:color w:val="auto"/>
        </w:rPr>
      </w:pPr>
      <w:r>
        <w:rPr>
          <w:rFonts w:ascii="Arial" w:cs="Arial" w:eastAsia="Arial" w:hAnsi="Arial"/>
          <w:sz w:val="14"/>
          <w:szCs w:val="14"/>
          <w:color w:val="auto"/>
        </w:rPr>
        <w:t>Having established the exposure requirement for maximal target inhibition based on one downstream readout of the pathway, interferon alpha, we then conducted a study to test the effect of SLC15A4 inhibition on healthy B cells, pathogenic B cells, and on autoantibody production in both healthy and diseased mice.</w:t>
      </w:r>
    </w:p>
    <w:p>
      <w:pPr>
        <w:spacing w:after="0" w:line="44"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In this study, we evaluated three weeks of daily dosing of an OD-002 precursor at 3 mg/kg and afimetoran at 2.5 mg/kg to assess their activity on B cells in healthy mice (C57BL) and in the lupus-prone MRL/lpr strain. We selected afimetoran, instead of enpatoran, in this experiment since we observed a superior PD response with QD dosing in mice. As set forth in the figures below, in the C57BL mice, neither OD-002 or afimetoran impacted the normal proliferation of B cells as shown by staining of Ki -67, a marker of cell proliferation in B cells. We believe these results suggest that inhibition of TLR7/8/9 signaling does not affect the homeostatic proliferation of B cells.</w:t>
      </w:r>
    </w:p>
    <w:p>
      <w:pPr>
        <w:spacing w:after="0" w:line="54"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In the lupus-prone MRL/lpr mice, both OD-002 precursor and afimetoran reduced the percentage of proliferating Ki-67-positive B cells and plasmablasts. However, only OD-002 precursor decreased ABCs and the levels of anti-dsDNA autoantibodies measured in serum. Since ABCs and anti-dsDNA antibodies are mediators of disease, we believe these results show the added potential benefit of targeting SLC15A4 as compared to TLR7/8-only inhibitors. We believe the basis for this difference is because OD-002 blocks TLR9 signaling in response to DNA and that signaling through TLR9 is required for the production of anti-dsDNA antibodies.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OD-002 Precursor Selectively Reduces Expansion of Pathogenic B Cells and Autoantibody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254635</wp:posOffset>
            </wp:positionV>
            <wp:extent cx="4384675" cy="29527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84675" cy="295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Normal and lupus-prone MRL/lpr seven – nine-week-old mice were dosed for three weeks. Data presents 10 C57BL mice</w:t>
      </w:r>
    </w:p>
    <w:p>
      <w:pPr>
        <w:spacing w:after="0" w:line="12" w:lineRule="exact"/>
        <w:rPr>
          <w:sz w:val="20"/>
          <w:szCs w:val="20"/>
          <w:color w:val="auto"/>
        </w:rPr>
      </w:pPr>
    </w:p>
    <w:p>
      <w:pPr>
        <w:jc w:val="center"/>
        <w:ind w:left="640" w:right="659"/>
        <w:spacing w:after="0" w:line="250" w:lineRule="auto"/>
        <w:rPr>
          <w:sz w:val="20"/>
          <w:szCs w:val="20"/>
          <w:color w:val="auto"/>
        </w:rPr>
      </w:pPr>
      <w:r>
        <w:rPr>
          <w:rFonts w:ascii="Arial" w:cs="Arial" w:eastAsia="Arial" w:hAnsi="Arial"/>
          <w:sz w:val="14"/>
          <w:szCs w:val="14"/>
          <w:i w:val="1"/>
          <w:iCs w:val="1"/>
          <w:color w:val="auto"/>
        </w:rPr>
        <w:t>per treatment group, 10 MRL/lpr mice for vehicle and afimetoran treatment groups, and 9 MRL/lpr mice for OD-002 precursor treatment group. Cells from spleen and anti-dsDNA autoantibodies from plasma were analyzed at the end of the study. ** = p &lt; 0.01; **** = p &lt; 0.0001.</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Human dose prediction for OD-002</w:t>
      </w:r>
    </w:p>
    <w:p>
      <w:pPr>
        <w:spacing w:after="0" w:line="84" w:lineRule="exact"/>
        <w:rPr>
          <w:sz w:val="20"/>
          <w:szCs w:val="20"/>
          <w:color w:val="auto"/>
        </w:rPr>
      </w:pPr>
    </w:p>
    <w:p>
      <w:pPr>
        <w:ind w:left="640" w:right="739" w:firstLine="443"/>
        <w:spacing w:after="0" w:line="230" w:lineRule="auto"/>
        <w:rPr>
          <w:sz w:val="20"/>
          <w:szCs w:val="20"/>
          <w:color w:val="auto"/>
        </w:rPr>
      </w:pPr>
      <w:r>
        <w:rPr>
          <w:rFonts w:ascii="Arial" w:cs="Arial" w:eastAsia="Arial" w:hAnsi="Arial"/>
          <w:sz w:val="14"/>
          <w:szCs w:val="14"/>
          <w:color w:val="auto"/>
        </w:rPr>
        <w:t xml:space="preserve">Results from in vitro experiments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PK/PD studies in mice demonstrate an in vitro-</w:t>
      </w:r>
      <w:r>
        <w:rPr>
          <w:rFonts w:ascii="Arial" w:cs="Arial" w:eastAsia="Arial" w:hAnsi="Arial"/>
          <w:sz w:val="14"/>
          <w:szCs w:val="14"/>
          <w:i w:val="1"/>
          <w:iCs w:val="1"/>
          <w:color w:val="auto"/>
        </w:rPr>
        <w:t>in vivo</w:t>
      </w:r>
      <w:r>
        <w:rPr>
          <w:rFonts w:ascii="Arial" w:cs="Arial" w:eastAsia="Arial" w:hAnsi="Arial"/>
          <w:sz w:val="14"/>
          <w:szCs w:val="14"/>
          <w:color w:val="auto"/>
        </w:rPr>
        <w:t xml:space="preserve"> correlation in the exposure-response relationship. Based on this, the human efficacious dose was predicted based on in vitro activity in human whole blood to be &lt; 20 mg once daily. This prediction was derived using IC</w:t>
      </w:r>
      <w:r>
        <w:rPr>
          <w:rFonts w:ascii="Arial" w:cs="Arial" w:eastAsia="Arial" w:hAnsi="Arial"/>
          <w:sz w:val="19"/>
          <w:szCs w:val="19"/>
          <w:color w:val="auto"/>
          <w:vertAlign w:val="subscript"/>
        </w:rPr>
        <w:t>90</w:t>
      </w:r>
      <w:r>
        <w:rPr>
          <w:rFonts w:ascii="Arial" w:cs="Arial" w:eastAsia="Arial" w:hAnsi="Arial"/>
          <w:sz w:val="14"/>
          <w:szCs w:val="14"/>
          <w:color w:val="auto"/>
        </w:rPr>
        <w:t xml:space="preserve"> at C</w:t>
      </w:r>
      <w:r>
        <w:rPr>
          <w:rFonts w:ascii="Arial" w:cs="Arial" w:eastAsia="Arial" w:hAnsi="Arial"/>
          <w:sz w:val="19"/>
          <w:szCs w:val="19"/>
          <w:color w:val="auto"/>
          <w:vertAlign w:val="subscript"/>
        </w:rPr>
        <w:t>min</w:t>
      </w:r>
      <w:r>
        <w:rPr>
          <w:rFonts w:ascii="Arial" w:cs="Arial" w:eastAsia="Arial" w:hAnsi="Arial"/>
          <w:sz w:val="14"/>
          <w:szCs w:val="14"/>
          <w:color w:val="auto"/>
        </w:rPr>
        <w:t xml:space="preserve"> as an exposure target that is</w:t>
      </w:r>
    </w:p>
    <w:p>
      <w:pPr>
        <w:ind w:left="640"/>
        <w:spacing w:after="0" w:line="201" w:lineRule="auto"/>
        <w:rPr>
          <w:sz w:val="20"/>
          <w:szCs w:val="20"/>
          <w:color w:val="auto"/>
        </w:rPr>
      </w:pPr>
      <w:r>
        <w:rPr>
          <w:rFonts w:ascii="Arial" w:cs="Arial" w:eastAsia="Arial" w:hAnsi="Arial"/>
          <w:sz w:val="14"/>
          <w:szCs w:val="14"/>
          <w:color w:val="auto"/>
        </w:rPr>
        <w:t>expected to provide near-maximal pathway inhibition over the interval between doses. The value for IC</w:t>
      </w:r>
      <w:r>
        <w:rPr>
          <w:rFonts w:ascii="Arial" w:cs="Arial" w:eastAsia="Arial" w:hAnsi="Arial"/>
          <w:sz w:val="19"/>
          <w:szCs w:val="19"/>
          <w:color w:val="auto"/>
          <w:vertAlign w:val="subscript"/>
        </w:rPr>
        <w:t>90,u</w:t>
      </w:r>
      <w:r>
        <w:rPr>
          <w:rFonts w:ascii="Arial" w:cs="Arial" w:eastAsia="Arial" w:hAnsi="Arial"/>
          <w:sz w:val="14"/>
          <w:szCs w:val="14"/>
          <w:color w:val="auto"/>
        </w:rPr>
        <w:t xml:space="preserve"> was determined</w:t>
      </w:r>
    </w:p>
    <w:p>
      <w:pPr>
        <w:ind w:left="640" w:right="679"/>
        <w:spacing w:after="0" w:line="227" w:lineRule="auto"/>
        <w:rPr>
          <w:sz w:val="20"/>
          <w:szCs w:val="20"/>
          <w:color w:val="auto"/>
        </w:rPr>
      </w:pPr>
      <w:r>
        <w:rPr>
          <w:rFonts w:ascii="Arial" w:cs="Arial" w:eastAsia="Arial" w:hAnsi="Arial"/>
          <w:sz w:val="14"/>
          <w:szCs w:val="14"/>
          <w:color w:val="auto"/>
        </w:rPr>
        <w:t xml:space="preserve">as 4.9 nM based on experiments measuring the concentration of OD-002 required for ≥ 90% inhibition of R848-induced IFNβ production in blood samples from six human donors. Standard methods were used to predict human PK parameters based on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PK and in vitro studies across three preclinical species. A human dose of &lt; 20 mg once daily is predicted to produce a C</w:t>
      </w:r>
      <w:r>
        <w:rPr>
          <w:rFonts w:ascii="Arial" w:cs="Arial" w:eastAsia="Arial" w:hAnsi="Arial"/>
          <w:sz w:val="19"/>
          <w:szCs w:val="19"/>
          <w:color w:val="auto"/>
          <w:vertAlign w:val="subscript"/>
        </w:rPr>
        <w:t>min</w:t>
      </w:r>
      <w:r>
        <w:rPr>
          <w:rFonts w:ascii="Arial" w:cs="Arial" w:eastAsia="Arial" w:hAnsi="Arial"/>
          <w:sz w:val="14"/>
          <w:szCs w:val="14"/>
          <w:color w:val="auto"/>
        </w:rPr>
        <w:t xml:space="preserve"> concentration ≥ 4.9 nM, which is expected to provide inhibition of ≥ 90% of TLR7/8/9-induced IFN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production.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Future Clinical Studies for OD-002</w:t>
      </w:r>
    </w:p>
    <w:p>
      <w:pPr>
        <w:spacing w:after="0" w:line="84" w:lineRule="exact"/>
        <w:rPr>
          <w:sz w:val="20"/>
          <w:szCs w:val="20"/>
          <w:color w:val="auto"/>
        </w:rPr>
      </w:pPr>
    </w:p>
    <w:p>
      <w:pPr>
        <w:ind w:left="640" w:right="719" w:firstLine="443"/>
        <w:spacing w:after="0" w:line="254" w:lineRule="auto"/>
        <w:rPr>
          <w:sz w:val="20"/>
          <w:szCs w:val="20"/>
          <w:color w:val="auto"/>
        </w:rPr>
      </w:pPr>
      <w:r>
        <w:rPr>
          <w:rFonts w:ascii="Arial" w:cs="Arial" w:eastAsia="Arial" w:hAnsi="Arial"/>
          <w:sz w:val="14"/>
          <w:szCs w:val="14"/>
          <w:color w:val="auto"/>
        </w:rPr>
        <w:t>As of the date of this prospectus, OD-002 is in IND-enabling studies being conducted under good laboratory practice, or GLP, conditions. Pending an acceptable profile in these studies, in the second half of 2026, we intend to file a CTA outside of the United States to enable the commencement of a phase 1/2a clinical trial of OD-002 in the first half of 2027.</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7" w:name="page148"/>
    <w:bookmarkEnd w:id="14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19" w:firstLine="443"/>
        <w:spacing w:after="0" w:line="248" w:lineRule="auto"/>
        <w:rPr>
          <w:sz w:val="20"/>
          <w:szCs w:val="20"/>
          <w:color w:val="auto"/>
        </w:rPr>
      </w:pPr>
      <w:r>
        <w:rPr>
          <w:rFonts w:ascii="Arial" w:cs="Arial" w:eastAsia="Arial" w:hAnsi="Arial"/>
          <w:sz w:val="14"/>
          <w:szCs w:val="14"/>
          <w:color w:val="auto"/>
        </w:rPr>
        <w:t xml:space="preserve">We currently expect that this phase 1/2a clinical trial will enroll both healthy participants and patients autoimmune diseases, such as CLE. The healthy participant portions of the trial are expected to consist of a SAD component and a MAD component designed to assess the safety, PK, and PD of OD-002. In the MAD portion of the trial, we intend to collect blood samples for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assays that will measure pharmacodynamic endpoints to confirm pathway inhibition and support projection of a therapeutic dose. These assessments are expected to evaluate disease-relevant inflammatory mediators, such as interferon and cytokine production.</w:t>
      </w:r>
    </w:p>
    <w:p>
      <w:pPr>
        <w:spacing w:after="0" w:line="54"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Following identification of one or more doses with projected therapeutic effect, we expect to enroll two to three cohorts of patients in a basket trial, with one group including up to 30 patients with CLE to evaluate safety, biomarkers, and efficacy in patients over a 12-week treatment period. We have selected CLE as at least one initial indication to enable assessment of efficacy because it is a disease in which patients are currently treated with interferon blocking therapy and in which TLR7/8 inhibitors in clinical development by third parties have generated positive efficacy data. We believe the cutaneous nature of CLE can also permit biopsies of diseased tissue to assess pharmacodynamic effects on molecular and cellular mediators of disease. We are currently assessing the other indications for enrollment but intend to select one to two other indications for which initial proof-of-concept can be achieved in a relatively small patient cohort.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SLC15A4 Inhibitor Planned Phase 1/2a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132080</wp:posOffset>
            </wp:positionV>
            <wp:extent cx="4692015" cy="2305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92015" cy="230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right="659" w:firstLine="443"/>
        <w:spacing w:after="0" w:line="251" w:lineRule="auto"/>
        <w:rPr>
          <w:sz w:val="20"/>
          <w:szCs w:val="20"/>
          <w:color w:val="auto"/>
        </w:rPr>
      </w:pPr>
      <w:r>
        <w:rPr>
          <w:rFonts w:ascii="Arial" w:cs="Arial" w:eastAsia="Arial" w:hAnsi="Arial"/>
          <w:sz w:val="14"/>
          <w:szCs w:val="14"/>
          <w:color w:val="auto"/>
        </w:rPr>
        <w:t>We have not yet completed the design of our phase 1/2a trial, and the final study design, including dose levels, cohort size, and specific pharmacodynamic assessments, will be informed by ongoing preclinical and translational studies. Subject to the receipt of authorization from relevant regulatory authorities, we currently expect to commence the phase 1/2a trial in the first half of 2027 and to announce results from the healthy participant portion of this trial in the second half of 2027.</w:t>
      </w:r>
    </w:p>
    <w:p>
      <w:pPr>
        <w:spacing w:after="0" w:line="200" w:lineRule="exact"/>
        <w:rPr>
          <w:sz w:val="20"/>
          <w:szCs w:val="20"/>
          <w:color w:val="auto"/>
        </w:rPr>
      </w:pPr>
    </w:p>
    <w:p>
      <w:pPr>
        <w:spacing w:after="0" w:line="353"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TNFR2</w:t>
      </w:r>
    </w:p>
    <w:p>
      <w:pPr>
        <w:spacing w:after="0" w:line="84" w:lineRule="exact"/>
        <w:rPr>
          <w:sz w:val="20"/>
          <w:szCs w:val="20"/>
          <w:color w:val="auto"/>
        </w:rPr>
      </w:pPr>
    </w:p>
    <w:p>
      <w:pPr>
        <w:ind w:left="640" w:right="659" w:firstLine="438"/>
        <w:spacing w:after="0" w:line="245" w:lineRule="auto"/>
        <w:rPr>
          <w:sz w:val="20"/>
          <w:szCs w:val="20"/>
          <w:color w:val="auto"/>
        </w:rPr>
      </w:pPr>
      <w:r>
        <w:rPr>
          <w:rFonts w:ascii="Arial" w:cs="Arial" w:eastAsia="Arial" w:hAnsi="Arial"/>
          <w:sz w:val="14"/>
          <w:szCs w:val="14"/>
          <w:color w:val="auto"/>
        </w:rPr>
        <w:t>OD-003 is a V-body that is designed to agonize TNFR2 selectively on Treg. TNFR2 is a receptor that is highly expressed on Treg, with relatively limited expression on other cell types. We believe effective modulation of Treg is a compelling approach to treat autoimmune and inflammatory diseases because of the link between these diseases and Treg dysregulation and the ability of Treg to modulate multiple elements of an immune response. IL-2-based approaches to modulate Treg have shown efficacy in third-party clinical trials across multiple indications, including atopic dermatitis, or AD, and alopecia areata, with the potential for durable responses. We believe OD-003 has the potential to harness the full capacity of a Treg-targeted therapy, because TNFR2 agonism (unlike IL-2 agonism) exerts several favorable effects on Treg beyond selective Treg expansion. These include increased immunosuppressive function, increased resistance to shift to a pathogenic ex-Treg state in an inflammatory environment, and induction of a tissue repair phenotype. We believe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8" w:name="page149"/>
    <w:bookmarkEnd w:id="14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59"/>
        <w:spacing w:after="0" w:line="282" w:lineRule="auto"/>
        <w:rPr>
          <w:sz w:val="20"/>
          <w:szCs w:val="20"/>
          <w:color w:val="auto"/>
        </w:rPr>
      </w:pPr>
      <w:r>
        <w:rPr>
          <w:rFonts w:ascii="Arial" w:cs="Arial" w:eastAsia="Arial" w:hAnsi="Arial"/>
          <w:sz w:val="14"/>
          <w:szCs w:val="14"/>
          <w:color w:val="auto"/>
        </w:rPr>
        <w:t>an effective modulator of Treg would have broad applicability across inflammatory diseases, including AD, SLE, vitiligo, multiple sclerosis, or MS, and rheumatoid arthritis, or RA.</w:t>
      </w:r>
    </w:p>
    <w:p>
      <w:pPr>
        <w:spacing w:after="0" w:line="116" w:lineRule="exact"/>
        <w:rPr>
          <w:sz w:val="20"/>
          <w:szCs w:val="20"/>
          <w:color w:val="auto"/>
        </w:rPr>
      </w:pPr>
    </w:p>
    <w:p>
      <w:pPr>
        <w:jc w:val="both"/>
        <w:ind w:left="640" w:right="659" w:firstLine="438"/>
        <w:spacing w:after="0" w:line="261" w:lineRule="auto"/>
        <w:rPr>
          <w:sz w:val="20"/>
          <w:szCs w:val="20"/>
          <w:color w:val="auto"/>
        </w:rPr>
      </w:pPr>
      <w:r>
        <w:rPr>
          <w:rFonts w:ascii="Arial" w:cs="Arial" w:eastAsia="Arial" w:hAnsi="Arial"/>
          <w:sz w:val="14"/>
          <w:szCs w:val="14"/>
          <w:color w:val="auto"/>
        </w:rPr>
        <w:t>We have completed developability, immunogenicity, forced degradation, high concentration assessments, and non-GLP, repeat dose, dose range finding studies in non-human primates for advancement of our development candidate OD-003. IND-enabling activities for OD-003 are ongoing and expected to complete in the first quarter of 2027.</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Role of Treg in Immune Response</w:t>
      </w:r>
    </w:p>
    <w:p>
      <w:pPr>
        <w:spacing w:after="0" w:line="84" w:lineRule="exact"/>
        <w:rPr>
          <w:sz w:val="20"/>
          <w:szCs w:val="20"/>
          <w:color w:val="auto"/>
        </w:rPr>
      </w:pPr>
    </w:p>
    <w:p>
      <w:pPr>
        <w:ind w:left="640" w:right="659" w:firstLine="438"/>
        <w:spacing w:after="0" w:line="254" w:lineRule="auto"/>
        <w:rPr>
          <w:sz w:val="20"/>
          <w:szCs w:val="20"/>
          <w:color w:val="auto"/>
        </w:rPr>
      </w:pPr>
      <w:r>
        <w:rPr>
          <w:rFonts w:ascii="Arial" w:cs="Arial" w:eastAsia="Arial" w:hAnsi="Arial"/>
          <w:sz w:val="14"/>
          <w:szCs w:val="14"/>
          <w:color w:val="auto"/>
        </w:rPr>
        <w:t>Treg are a subset of T cells that exert immunosuppressive activity through multiple mechanisms including secretion of mediators, metabolic disruption and direct cytolysis. In addition to having anti-inflammatory effects, a subpopulation of Treg found in tissues have the ability to induce regenerative responses in non-lymphoid cells, leading to repair of tissue and organ damage that in turn may prevent fibrosis.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image below depicts the following three functions of Treg:</w:t>
      </w:r>
    </w:p>
    <w:p>
      <w:pPr>
        <w:spacing w:after="0" w:line="86" w:lineRule="exact"/>
        <w:rPr>
          <w:sz w:val="20"/>
          <w:szCs w:val="20"/>
          <w:color w:val="auto"/>
        </w:rPr>
      </w:pPr>
    </w:p>
    <w:p>
      <w:pPr>
        <w:ind w:left="1480" w:hanging="317"/>
        <w:spacing w:after="0"/>
        <w:tabs>
          <w:tab w:leader="none" w:pos="1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Treg suppress the proliferation and differentiation of inflammatory immune cells.</w:t>
      </w:r>
    </w:p>
    <w:p>
      <w:pPr>
        <w:spacing w:after="0" w:line="86" w:lineRule="exact"/>
        <w:rPr>
          <w:rFonts w:ascii="Arial" w:cs="Arial" w:eastAsia="Arial" w:hAnsi="Arial"/>
          <w:sz w:val="14"/>
          <w:szCs w:val="14"/>
          <w:color w:val="auto"/>
        </w:rPr>
      </w:pPr>
    </w:p>
    <w:p>
      <w:pPr>
        <w:ind w:left="1600" w:right="1039" w:hanging="437"/>
        <w:spacing w:after="0" w:line="282" w:lineRule="auto"/>
        <w:tabs>
          <w:tab w:leader="none" w:pos="1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Treg reduce activation of T cells including CD8+ and CD4+ T-helper, or Th, cells such as Th1, Th2 and Th17.</w:t>
      </w:r>
    </w:p>
    <w:p>
      <w:pPr>
        <w:spacing w:after="0" w:line="29" w:lineRule="exact"/>
        <w:rPr>
          <w:rFonts w:ascii="Arial" w:cs="Arial" w:eastAsia="Arial" w:hAnsi="Arial"/>
          <w:sz w:val="14"/>
          <w:szCs w:val="14"/>
          <w:color w:val="auto"/>
        </w:rPr>
      </w:pPr>
    </w:p>
    <w:p>
      <w:pPr>
        <w:ind w:left="1600" w:right="659" w:hanging="437"/>
        <w:spacing w:after="0" w:line="261" w:lineRule="auto"/>
        <w:tabs>
          <w:tab w:leader="none" w:pos="1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addition to having anti-inflammatory effects, a subpopulation of Treg found in tissues expresses a set of genes that provide them the ability to induce regenerative responses in non-lymphoid cells, repairing tissue and organ damage that in turn may prevent fibrosis.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Overview of Treg Role in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132080</wp:posOffset>
            </wp:positionV>
            <wp:extent cx="4275455" cy="27552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75455" cy="275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The Role of TNFR2 in Autoimmune Disease</w:t>
      </w:r>
    </w:p>
    <w:p>
      <w:pPr>
        <w:spacing w:after="0" w:line="84" w:lineRule="exact"/>
        <w:rPr>
          <w:sz w:val="20"/>
          <w:szCs w:val="20"/>
          <w:color w:val="auto"/>
        </w:rPr>
      </w:pPr>
    </w:p>
    <w:p>
      <w:pPr>
        <w:ind w:left="640" w:right="719" w:firstLine="438"/>
        <w:spacing w:after="0" w:line="251" w:lineRule="auto"/>
        <w:rPr>
          <w:sz w:val="20"/>
          <w:szCs w:val="20"/>
          <w:color w:val="auto"/>
        </w:rPr>
      </w:pPr>
      <w:r>
        <w:rPr>
          <w:rFonts w:ascii="Arial" w:cs="Arial" w:eastAsia="Arial" w:hAnsi="Arial"/>
          <w:sz w:val="14"/>
          <w:szCs w:val="14"/>
          <w:color w:val="auto"/>
        </w:rPr>
        <w:t>TNFR2 is a surface receptor that is highly expressed on Treg, and agonism of TNFR2 induces Treg activation and responses that underlie immunosuppressive function. NF-</w:t>
      </w:r>
      <w:r>
        <w:rPr>
          <w:rFonts w:ascii="Times New Roman" w:cs="Times New Roman" w:eastAsia="Times New Roman" w:hAnsi="Times New Roman"/>
          <w:sz w:val="17"/>
          <w:szCs w:val="17"/>
          <w:color w:val="auto"/>
        </w:rPr>
        <w:t>κ</w:t>
      </w:r>
      <w:r>
        <w:rPr>
          <w:rFonts w:ascii="Arial" w:cs="Arial" w:eastAsia="Arial" w:hAnsi="Arial"/>
          <w:sz w:val="14"/>
          <w:szCs w:val="14"/>
          <w:color w:val="auto"/>
        </w:rPr>
        <w:t>B activation in Treg resulting from TNFR2 agonism increases Treg proliferation and expression of FOXP3, which is considered a master regulator of Treg function. High FOXP3 expression has been correlated with increased immunosuppressive Treg activity, and low FOXP3 expression with</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9" w:name="page150"/>
    <w:bookmarkEnd w:id="14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39"/>
        <w:spacing w:after="0" w:line="261" w:lineRule="auto"/>
        <w:rPr>
          <w:sz w:val="20"/>
          <w:szCs w:val="20"/>
          <w:color w:val="auto"/>
        </w:rPr>
      </w:pPr>
      <w:r>
        <w:rPr>
          <w:rFonts w:ascii="Arial" w:cs="Arial" w:eastAsia="Arial" w:hAnsi="Arial"/>
          <w:sz w:val="14"/>
          <w:szCs w:val="14"/>
          <w:color w:val="auto"/>
        </w:rPr>
        <w:t>reduced function and quality of Treg and with autoimmune disease. We believe a TNFR2 agonist triggers an epigenetic program that may result in stable FOXP3 expression and therapeutic effects in patients with autoimmune and inflammatory diseases.</w:t>
      </w:r>
    </w:p>
    <w:p>
      <w:pPr>
        <w:spacing w:after="0" w:line="98" w:lineRule="exact"/>
        <w:rPr>
          <w:sz w:val="20"/>
          <w:szCs w:val="20"/>
          <w:color w:val="auto"/>
        </w:rPr>
      </w:pPr>
    </w:p>
    <w:p>
      <w:pPr>
        <w:ind w:left="640" w:right="779" w:firstLine="516"/>
        <w:spacing w:after="0" w:line="261" w:lineRule="auto"/>
        <w:rPr>
          <w:sz w:val="20"/>
          <w:szCs w:val="20"/>
          <w:color w:val="auto"/>
        </w:rPr>
      </w:pPr>
      <w:r>
        <w:rPr>
          <w:rFonts w:ascii="Arial" w:cs="Arial" w:eastAsia="Arial" w:hAnsi="Arial"/>
          <w:sz w:val="14"/>
          <w:szCs w:val="14"/>
          <w:color w:val="auto"/>
        </w:rPr>
        <w:t>It is important that a TNFR2 agonist intended to treat autoimmune diseases selectively activates Treg while avoiding effects on other cell types because activating non-Treg cells, including Teff and endothelial cells, is expected to introduce safety risks and reduce efficacy.</w:t>
      </w:r>
    </w:p>
    <w:p>
      <w:pPr>
        <w:spacing w:after="0" w:line="130" w:lineRule="exact"/>
        <w:rPr>
          <w:sz w:val="20"/>
          <w:szCs w:val="20"/>
          <w:color w:val="auto"/>
        </w:rPr>
      </w:pPr>
    </w:p>
    <w:p>
      <w:pPr>
        <w:ind w:left="640" w:right="659" w:firstLine="438"/>
        <w:spacing w:after="0" w:line="250" w:lineRule="auto"/>
        <w:rPr>
          <w:sz w:val="20"/>
          <w:szCs w:val="20"/>
          <w:color w:val="auto"/>
        </w:rPr>
      </w:pPr>
      <w:r>
        <w:rPr>
          <w:rFonts w:ascii="Arial" w:cs="Arial" w:eastAsia="Arial" w:hAnsi="Arial"/>
          <w:sz w:val="14"/>
          <w:szCs w:val="14"/>
          <w:color w:val="auto"/>
        </w:rPr>
        <w:t>In addition to expression on Teff, TNFR2 is also expressed on endothelial cells, which line the inside of blood vessels, lymph vessels and the heart. Activation of endothelial cells can lead to the secretion of proinflammatory cytokines and chemokines, including MCP-1, which is believed to play an important role in cardiovascular disease. Therefore, we believe it is also important that a TNFR2 agonist developed to treat autoimmune disease results in minimal or no endothelial cell activation or accompanying MCP-1 release.</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Dysregulation of Treg is Broadly Implicated in Autoimmune and Inflammatory Diseases</w:t>
      </w:r>
    </w:p>
    <w:p>
      <w:pPr>
        <w:spacing w:after="0" w:line="84" w:lineRule="exact"/>
        <w:rPr>
          <w:sz w:val="20"/>
          <w:szCs w:val="20"/>
          <w:color w:val="auto"/>
        </w:rPr>
      </w:pPr>
    </w:p>
    <w:p>
      <w:pPr>
        <w:ind w:left="640" w:right="799" w:firstLine="438"/>
        <w:spacing w:after="0" w:line="249" w:lineRule="auto"/>
        <w:rPr>
          <w:sz w:val="20"/>
          <w:szCs w:val="20"/>
          <w:color w:val="auto"/>
        </w:rPr>
      </w:pPr>
      <w:r>
        <w:rPr>
          <w:rFonts w:ascii="Arial" w:cs="Arial" w:eastAsia="Arial" w:hAnsi="Arial"/>
          <w:sz w:val="14"/>
          <w:szCs w:val="14"/>
          <w:color w:val="auto"/>
        </w:rPr>
        <w:t>Treg play a necessary role in immune homeostasis, including preventing autoimmune disease and pathogenic inflammation. Dysregulation of Treg function or a reduction in their number has been shown to cause disease or worsen clinical outcomes. In autoimmune diseases, the loss of Treg-mediated suppression leads to an overactive immune response against self-antigens, resulting in tissue damage and chronic inflammation. In inflammatory diseases, Treg dysregulation leads to uncontrolled inflammatory responses due to unchecked activity of Th1, Th2 and Th17 immune cells.</w:t>
      </w:r>
    </w:p>
    <w:p>
      <w:pPr>
        <w:spacing w:after="0" w:line="303" w:lineRule="exact"/>
        <w:rPr>
          <w:sz w:val="20"/>
          <w:szCs w:val="20"/>
          <w:color w:val="auto"/>
        </w:rPr>
      </w:pPr>
    </w:p>
    <w:p>
      <w:pPr>
        <w:ind w:left="640" w:right="1119" w:firstLine="438"/>
        <w:spacing w:after="0" w:line="282" w:lineRule="auto"/>
        <w:rPr>
          <w:sz w:val="20"/>
          <w:szCs w:val="20"/>
          <w:color w:val="auto"/>
        </w:rPr>
      </w:pPr>
      <w:r>
        <w:rPr>
          <w:rFonts w:ascii="Arial" w:cs="Arial" w:eastAsia="Arial" w:hAnsi="Arial"/>
          <w:sz w:val="14"/>
          <w:szCs w:val="14"/>
          <w:color w:val="auto"/>
        </w:rPr>
        <w:t>The table below details several autoimmune and inflammatory diseases where Treg dysregulation has been implicated that are potential indications that we may evaluate in future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89535</wp:posOffset>
            </wp:positionV>
            <wp:extent cx="4814570" cy="2434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1457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719" w:firstLine="516"/>
        <w:spacing w:after="0" w:line="282" w:lineRule="auto"/>
        <w:rPr>
          <w:sz w:val="20"/>
          <w:szCs w:val="20"/>
          <w:color w:val="auto"/>
        </w:rPr>
      </w:pPr>
      <w:r>
        <w:rPr>
          <w:rFonts w:ascii="Arial" w:cs="Arial" w:eastAsia="Arial" w:hAnsi="Arial"/>
          <w:sz w:val="14"/>
          <w:szCs w:val="14"/>
          <w:color w:val="auto"/>
        </w:rPr>
        <w:t>Given the links between Treg dysregulation and autoimmune and inflammatory disease, we believe a Treg directed therapy has the potential to be used across multiple inflammatory conditions to benefit a broad range of patients.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TNFR2 Agonism Can Potentially Overcome Limitations of Existing Therapies</w:t>
      </w:r>
    </w:p>
    <w:p>
      <w:pPr>
        <w:spacing w:after="0" w:line="84" w:lineRule="exact"/>
        <w:rPr>
          <w:sz w:val="20"/>
          <w:szCs w:val="20"/>
          <w:color w:val="auto"/>
        </w:rPr>
      </w:pPr>
    </w:p>
    <w:p>
      <w:pPr>
        <w:ind w:left="640" w:right="699" w:firstLine="438"/>
        <w:spacing w:after="0" w:line="254" w:lineRule="auto"/>
        <w:rPr>
          <w:sz w:val="20"/>
          <w:szCs w:val="20"/>
          <w:color w:val="auto"/>
        </w:rPr>
      </w:pPr>
      <w:r>
        <w:rPr>
          <w:rFonts w:ascii="Arial" w:cs="Arial" w:eastAsia="Arial" w:hAnsi="Arial"/>
          <w:sz w:val="14"/>
          <w:szCs w:val="14"/>
          <w:color w:val="auto"/>
        </w:rPr>
        <w:t>No drugs have been approved to treat disease by modulating Treg; however, a number are in development. Those include, in addition to TNFR2 agonists, two other classes: IL-2 receptor targeted therapies and cell therapies. IL-2 receptor targeted therapies provide clinical precedent for the potential of Treg modulation to treat diseases, including AD and alopecia areata, but efficacy has been inconsistent. We believe the limited and inconsistent efficacy of IL-2 receptor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0" w:name="page151"/>
    <w:bookmarkEnd w:id="15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spacing w:after="0" w:line="244" w:lineRule="auto"/>
        <w:rPr>
          <w:sz w:val="20"/>
          <w:szCs w:val="20"/>
          <w:color w:val="auto"/>
        </w:rPr>
      </w:pPr>
      <w:r>
        <w:rPr>
          <w:rFonts w:ascii="Arial" w:cs="Arial" w:eastAsia="Arial" w:hAnsi="Arial"/>
          <w:sz w:val="14"/>
          <w:szCs w:val="14"/>
          <w:color w:val="auto"/>
        </w:rPr>
        <w:t>targeted therapies can be attributed to their similar potency for Treg and non-target cells, such as Teff, and in the case of low-dose IL-2 its short half-life, measured in minutes. Second generation IL-2 receptor targeted approaches sought to address these shortcomings through the use of pegylated IL-2 to improve half-life or IL-2 muteins that bias the agonist properties towards IL-2 receptors on Treg and away from IL-2 receptors on other cells. Pegylated IL-2 therapy, such as rezpegaldesleukin, has shown efficacy in randomized phase 2 trials in AD and alopecia areata patients but development in SLE was stopped after a phase 2b trial failed to meet its primary endpoint. We believe the limited and inconsistent efficacy observed with pegylated IL-2 and IL-2 muteins is likely due to the fact that IL -2 does not increase Treg function, stability in inflammatory conditions, or tissue migration capacity. Finally, IL-2 has low cell type selectivity and has the potential to activate or expand other non-Treg cell types. As described below, we believe TNFR2 agonist-expanded Treg have the potential to overcome the limitations of IL-2 expanded Treg.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Potential of TNFR2-induced Treg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118745</wp:posOffset>
            </wp:positionV>
            <wp:extent cx="3968750" cy="3089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968750" cy="308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right="659" w:firstLine="438"/>
        <w:spacing w:after="0" w:line="246" w:lineRule="auto"/>
        <w:rPr>
          <w:sz w:val="20"/>
          <w:szCs w:val="20"/>
          <w:color w:val="auto"/>
        </w:rPr>
      </w:pPr>
      <w:r>
        <w:rPr>
          <w:rFonts w:ascii="Arial" w:cs="Arial" w:eastAsia="Arial" w:hAnsi="Arial"/>
          <w:sz w:val="14"/>
          <w:szCs w:val="14"/>
          <w:color w:val="auto"/>
        </w:rPr>
        <w:t>We also believe that cell-based Treg therapies may not be suitable for the treatment of immunology indications that affect large patient populations for logistical, cost and benefit-risk considerations. Durability of response and ability to re-treat with cell-based Treg therapies are unknown, even though both are critical considerations for therapies used to treat chronic diseases. Second, the understood manufacturing challenges, including cost and scale, make it difficult for cell therapies to be used in large numbers of patients with autoimmune diseases and to date their limited use supports this point. Third, cell therapy requires ablation of the immune system, an element of this treatment approach that may introduce significant morbidity, and in particular infection risk, that may outweigh the potential benefit, particularly for patients with less severe disease.</w:t>
      </w:r>
    </w:p>
    <w:p>
      <w:pPr>
        <w:spacing w:after="0" w:line="140"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We believe TNFR2 agonists have the potential to be a well-suited approach for the large number of patients with immune diseases who could benefit from a treatment that maximizes the therapeutic effects of Treg. In addition, the established nature of protein therapeutics as a treatment modality for autoimmune diseases supports the feasibility and general acceptance expected for a TNFR2 V-body agonist. Based on these rationales, we initiated a discovery program to identify potent agonists of TNFR2 with Treg selective effects using our VHH protein therapeutics platform. These efforts led to the discovery and selection of our development candidate, OD-003.</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1" w:name="page152"/>
    <w:bookmarkEnd w:id="15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IL-2 Therapies Support Potential of Treg but Have Limitations</w:t>
      </w:r>
    </w:p>
    <w:p>
      <w:pPr>
        <w:spacing w:after="0" w:line="84" w:lineRule="exact"/>
        <w:rPr>
          <w:sz w:val="20"/>
          <w:szCs w:val="20"/>
          <w:color w:val="auto"/>
        </w:rPr>
      </w:pPr>
    </w:p>
    <w:p>
      <w:pPr>
        <w:ind w:left="640" w:right="719" w:firstLine="438"/>
        <w:spacing w:after="0" w:line="246" w:lineRule="auto"/>
        <w:rPr>
          <w:sz w:val="20"/>
          <w:szCs w:val="20"/>
          <w:color w:val="auto"/>
        </w:rPr>
      </w:pPr>
      <w:r>
        <w:rPr>
          <w:rFonts w:ascii="Arial" w:cs="Arial" w:eastAsia="Arial" w:hAnsi="Arial"/>
          <w:sz w:val="14"/>
          <w:szCs w:val="14"/>
          <w:color w:val="auto"/>
        </w:rPr>
        <w:t>Low-dose IL-2 treatments have been tested in dozens of small, typically single-center, uncontrolled studies across a number of autoimmune indications. In SLE, a number of studies enrolling between one and 38 patients have shown the ability of low-dose IL-2 to increase absolute Treg number in the blood alongside improvements in disease activity indices (e.g., SLEDAI, BILAG or SRI-4 scores), reduction in disease flares and reduction or normalization of biomarkers of disease (e.g., proteinuria). Despite the benefits observed in some IL-2 studies, other studies show inconsistent results. We believe inherent limitations of low-dose IL-2 limited its efficacy and prevented widespread use. These limitations include a short half-life and potential for activation of Teff, eosinophils or cell types that can reduce efficacy or introduce safety and tolerability concerns.</w:t>
      </w:r>
    </w:p>
    <w:p>
      <w:pPr>
        <w:spacing w:after="0" w:line="140" w:lineRule="exact"/>
        <w:rPr>
          <w:sz w:val="20"/>
          <w:szCs w:val="20"/>
          <w:color w:val="auto"/>
        </w:rPr>
      </w:pPr>
    </w:p>
    <w:p>
      <w:pPr>
        <w:ind w:left="640" w:right="839" w:firstLine="438"/>
        <w:spacing w:after="0" w:line="282" w:lineRule="auto"/>
        <w:rPr>
          <w:sz w:val="20"/>
          <w:szCs w:val="20"/>
          <w:color w:val="auto"/>
        </w:rPr>
      </w:pPr>
      <w:r>
        <w:rPr>
          <w:rFonts w:ascii="Arial" w:cs="Arial" w:eastAsia="Arial" w:hAnsi="Arial"/>
          <w:sz w:val="14"/>
          <w:szCs w:val="14"/>
          <w:color w:val="auto"/>
        </w:rPr>
        <w:t>Follow-on approaches to low-dose IL-2 have been centered on use of half-life extended IL-2 or IL-2 muteins with biased selectivity towards Treg over other cell types, such as Teff.</w:t>
      </w:r>
    </w:p>
    <w:p>
      <w:pPr>
        <w:spacing w:after="0" w:line="116" w:lineRule="exact"/>
        <w:rPr>
          <w:sz w:val="20"/>
          <w:szCs w:val="20"/>
          <w:color w:val="auto"/>
        </w:rPr>
      </w:pPr>
    </w:p>
    <w:p>
      <w:pPr>
        <w:ind w:left="640" w:right="719" w:firstLine="438"/>
        <w:spacing w:after="0" w:line="246" w:lineRule="auto"/>
        <w:rPr>
          <w:sz w:val="20"/>
          <w:szCs w:val="20"/>
          <w:color w:val="auto"/>
        </w:rPr>
      </w:pPr>
      <w:r>
        <w:rPr>
          <w:rFonts w:ascii="Arial" w:cs="Arial" w:eastAsia="Arial" w:hAnsi="Arial"/>
          <w:sz w:val="14"/>
          <w:szCs w:val="14"/>
          <w:color w:val="auto"/>
        </w:rPr>
        <w:t>The most advanced of these next-generation approaches is rezpegaldesleukin, which reported phase 2b results in AD in early 2026. In the trial, the half-life extended IL-2 achieved an increase in Treg number and all three doses tested met the primary endpoint of percentage improvement in the eczema area and severity index, or EASI, at 16 weeks. EASI is a validated tool to measure the extent and severity of AD. All six of the key secondary endpoints for efficacy were also met at the highest dose tested of 24 ug/kg dosed every two weeks. However, this group also had the highest rate of TEAEs as compared to lower dose groups and placebo. The most common TEAEs experienced in the 24 ug/kg group were eosinophilia, lymphadenopathy, musculoskeletal and connective tissue disorders, and fever. We believe these adverse events are linked to the pleiotropic effects from IL-2 agonizing non-Treg cells.</w:t>
      </w:r>
    </w:p>
    <w:p>
      <w:pPr>
        <w:spacing w:after="0" w:line="140" w:lineRule="exact"/>
        <w:rPr>
          <w:sz w:val="20"/>
          <w:szCs w:val="20"/>
          <w:color w:val="auto"/>
        </w:rPr>
      </w:pPr>
    </w:p>
    <w:p>
      <w:pPr>
        <w:jc w:val="both"/>
        <w:ind w:left="640" w:right="1059" w:firstLine="438"/>
        <w:spacing w:after="0" w:line="261" w:lineRule="auto"/>
        <w:rPr>
          <w:sz w:val="20"/>
          <w:szCs w:val="20"/>
          <w:color w:val="auto"/>
        </w:rPr>
      </w:pPr>
      <w:r>
        <w:rPr>
          <w:rFonts w:ascii="Arial" w:cs="Arial" w:eastAsia="Arial" w:hAnsi="Arial"/>
          <w:sz w:val="14"/>
          <w:szCs w:val="14"/>
          <w:color w:val="auto"/>
        </w:rPr>
        <w:t>In summary, we believe the data reported from low-dose IL-2 and IL-2 comparator clinical trials supports the hypothesis that Treg can be modulated pharmacologically across autoimmune diseases. However, we believe there continue to be limitations in Treg therapeutic effectiveness by targeting the IL-2 receptor.</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Cell Therapy is a Challenging Approach to Treat Autoimmune and Inflammatory Disease</w:t>
      </w:r>
    </w:p>
    <w:p>
      <w:pPr>
        <w:spacing w:after="0" w:line="84" w:lineRule="exact"/>
        <w:rPr>
          <w:sz w:val="20"/>
          <w:szCs w:val="20"/>
          <w:color w:val="auto"/>
        </w:rPr>
      </w:pPr>
    </w:p>
    <w:p>
      <w:pPr>
        <w:ind w:left="640" w:right="699" w:firstLine="438"/>
        <w:spacing w:after="0" w:line="254" w:lineRule="auto"/>
        <w:rPr>
          <w:sz w:val="20"/>
          <w:szCs w:val="20"/>
          <w:color w:val="auto"/>
        </w:rPr>
      </w:pPr>
      <w:r>
        <w:rPr>
          <w:rFonts w:ascii="Arial" w:cs="Arial" w:eastAsia="Arial" w:hAnsi="Arial"/>
          <w:sz w:val="14"/>
          <w:szCs w:val="14"/>
          <w:color w:val="auto"/>
        </w:rPr>
        <w:t>Cell therapy is another mechanism to modulate Treg that is being pursued by multiple biotechnology companies and includes both autologous and allogeneic approaches. Similar to low-dose IL-2 therapies, there is a significant amount of evidence supporting a cell therapy approach from small cohorts of patients treated for both autoimmune and inflammatory disease both from industry sponsors and in single center academic trials.</w:t>
      </w:r>
    </w:p>
    <w:p>
      <w:pPr>
        <w:spacing w:after="0" w:line="135" w:lineRule="exact"/>
        <w:rPr>
          <w:sz w:val="20"/>
          <w:szCs w:val="20"/>
          <w:color w:val="auto"/>
        </w:rPr>
      </w:pPr>
    </w:p>
    <w:p>
      <w:pPr>
        <w:ind w:left="640" w:right="739" w:firstLine="438"/>
        <w:spacing w:after="0" w:line="246" w:lineRule="auto"/>
        <w:rPr>
          <w:sz w:val="20"/>
          <w:szCs w:val="20"/>
          <w:color w:val="auto"/>
        </w:rPr>
      </w:pPr>
      <w:r>
        <w:rPr>
          <w:rFonts w:ascii="Arial" w:cs="Arial" w:eastAsia="Arial" w:hAnsi="Arial"/>
          <w:sz w:val="14"/>
          <w:szCs w:val="14"/>
          <w:color w:val="auto"/>
        </w:rPr>
        <w:t>However, we believe there are multiple challenges implicit to cell therapy as a modality that could limit its potential in patients with autoimmune and inflammatory diseases. The first is the need for a complex manufacturing and logistical process that can take weeks from making a decision to treat to the start of treatment. The second is administration and safety: patients require immune system ablation, hospitalization or specialized outpatient care, and may require ongoing monitoring for months around the time of treatment. As a result, cell therapy treatments can cost several hundreds of thousands of dollars for certain patients, which may preclude use for patients with mild or moderate disease. In addition, there is significant uncertainty around the durability and re-treatment potential of cell therapy, both of which are critical characteristics to understand potential benefit for patients with chronic autoimmune and inflammatory diseases.</w:t>
      </w:r>
    </w:p>
    <w:p>
      <w:pPr>
        <w:spacing w:after="0" w:line="140" w:lineRule="exact"/>
        <w:rPr>
          <w:sz w:val="20"/>
          <w:szCs w:val="20"/>
          <w:color w:val="auto"/>
        </w:rPr>
      </w:pPr>
    </w:p>
    <w:p>
      <w:pPr>
        <w:ind w:left="640" w:right="919" w:firstLine="438"/>
        <w:spacing w:after="0" w:line="261" w:lineRule="auto"/>
        <w:rPr>
          <w:sz w:val="20"/>
          <w:szCs w:val="20"/>
          <w:color w:val="auto"/>
        </w:rPr>
      </w:pPr>
      <w:r>
        <w:rPr>
          <w:rFonts w:ascii="Arial" w:cs="Arial" w:eastAsia="Arial" w:hAnsi="Arial"/>
          <w:sz w:val="14"/>
          <w:szCs w:val="14"/>
          <w:color w:val="auto"/>
        </w:rPr>
        <w:t>Therefore, despite evidence supporting the potential of a Treg modulator to be effective in multiple autoimmune and inflammatory diseases, we believe that existing approaches are limited by their inability to induce key biological responses or because of the complexities and risks associated with cell therapy.</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Our Solution—TNFR2 V-body Agonist (OD-003)</w:t>
      </w:r>
    </w:p>
    <w:p>
      <w:pPr>
        <w:spacing w:after="0" w:line="84" w:lineRule="exact"/>
        <w:rPr>
          <w:sz w:val="20"/>
          <w:szCs w:val="20"/>
          <w:color w:val="auto"/>
        </w:rPr>
      </w:pPr>
    </w:p>
    <w:p>
      <w:pPr>
        <w:jc w:val="both"/>
        <w:ind w:left="640" w:right="679" w:firstLine="438"/>
        <w:spacing w:after="0" w:line="261" w:lineRule="auto"/>
        <w:rPr>
          <w:sz w:val="20"/>
          <w:szCs w:val="20"/>
          <w:color w:val="auto"/>
        </w:rPr>
      </w:pPr>
      <w:r>
        <w:rPr>
          <w:rFonts w:ascii="Arial" w:cs="Arial" w:eastAsia="Arial" w:hAnsi="Arial"/>
          <w:sz w:val="14"/>
          <w:szCs w:val="14"/>
          <w:color w:val="auto"/>
        </w:rPr>
        <w:t>We believe agonizing TNFR2 is a promising approach to modulate Treg for treating autoimmune and inflammatory disease. We designed our VHH-based protein therapeutic, OD-003, to selectively agonize TNFR2 to increase the number of Treg, improve their function, enhance their stability in inflammatory environments and induce a tissue repair phenotype.</w:t>
      </w:r>
    </w:p>
    <w:p>
      <w:pPr>
        <w:spacing w:after="0" w:line="130" w:lineRule="exact"/>
        <w:rPr>
          <w:sz w:val="20"/>
          <w:szCs w:val="20"/>
          <w:color w:val="auto"/>
        </w:rPr>
      </w:pPr>
    </w:p>
    <w:p>
      <w:pPr>
        <w:ind w:left="640" w:right="699" w:firstLine="438"/>
        <w:spacing w:after="0" w:line="250" w:lineRule="auto"/>
        <w:rPr>
          <w:sz w:val="20"/>
          <w:szCs w:val="20"/>
          <w:color w:val="auto"/>
        </w:rPr>
      </w:pPr>
      <w:r>
        <w:rPr>
          <w:rFonts w:ascii="Arial" w:cs="Arial" w:eastAsia="Arial" w:hAnsi="Arial"/>
          <w:sz w:val="14"/>
          <w:szCs w:val="14"/>
          <w:color w:val="auto"/>
        </w:rPr>
        <w:t>OD-003 is designed to cluster the TNFR2 receptor on the cell surface while not blocking endogenous TNF binding, which otherwise may reduce efficacy. The program has completed developability assessments related to CMC, manufacturing and high-concentration formulation testing to enable either subcutaneous dosing or intravenous infusion and non-GLP dose range finding studies in non-human primates. IND-enabling activities for OD-003 are ongoing and expected to complete in the first quarter of 2027.</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2" w:name="page153"/>
    <w:bookmarkEnd w:id="15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firstLine="438"/>
        <w:spacing w:after="0" w:line="261" w:lineRule="auto"/>
        <w:rPr>
          <w:sz w:val="20"/>
          <w:szCs w:val="20"/>
          <w:color w:val="auto"/>
        </w:rPr>
      </w:pPr>
      <w:r>
        <w:rPr>
          <w:rFonts w:ascii="Arial" w:cs="Arial" w:eastAsia="Arial" w:hAnsi="Arial"/>
          <w:sz w:val="14"/>
          <w:szCs w:val="14"/>
          <w:color w:val="auto"/>
        </w:rPr>
        <w:t xml:space="preserve">Because OD-003 is selective for human TNFR2 and does not interact with murine TNFR2, our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assessments have utilized human TNFR2 knock-in mice models or a surrogate TNFR2 agonist that binds mouse TNFR2 for use in wild type mouse models. The use of mouse surrogate molecules for preclinical assessment is consistent with FDA guidance.</w:t>
      </w:r>
    </w:p>
    <w:p>
      <w:pPr>
        <w:spacing w:after="0" w:line="130" w:lineRule="exact"/>
        <w:rPr>
          <w:sz w:val="20"/>
          <w:szCs w:val="20"/>
          <w:color w:val="auto"/>
        </w:rPr>
      </w:pPr>
    </w:p>
    <w:p>
      <w:pPr>
        <w:ind w:left="640" w:right="659" w:firstLine="438"/>
        <w:spacing w:after="0" w:line="250" w:lineRule="auto"/>
        <w:rPr>
          <w:sz w:val="20"/>
          <w:szCs w:val="20"/>
          <w:color w:val="auto"/>
        </w:rPr>
      </w:pPr>
      <w:r>
        <w:rPr>
          <w:rFonts w:ascii="Arial" w:cs="Arial" w:eastAsia="Arial" w:hAnsi="Arial"/>
          <w:sz w:val="14"/>
          <w:szCs w:val="14"/>
          <w:color w:val="auto"/>
        </w:rPr>
        <w:t>We compared OD-003 and the TNFR2 murine surrogate agonist against multiple IL-2-based compounds and one TNFR2 agonist for which information on structure was publicly available. Our studies evaluated key therapeutic objectives including: (1) selective expansion of Treg versus effects on other cell types such as Teff and endothelial cells, (2) increase in immune suppressive function with enhanced stability in inflammatory environments, (3) induction of Treg in tissues with gene expression associated with a tissue repair phenotype and (4) efficacy in animal models of disease.</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 Vivo Efficacy with TNFR2 Murine Surrogate</w:t>
      </w:r>
    </w:p>
    <w:p>
      <w:pPr>
        <w:spacing w:after="0" w:line="84"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 xml:space="preserve">We have conducted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efficacy experiments with the TNFR2 murine surrogate, which we refer to as TNFR2 agonist, primarily to address three questions: (1) can TNFR2 agonism reduce disease when dosed therapeutically, (2) do TNFR2-induced Treg result in different tissue trafficking or efficacy versus IL-2, (3) does repeat dosing of a TNFR2 agonist result in a consistent PD effect with little to no immune activation after each dose.</w:t>
      </w:r>
    </w:p>
    <w:p>
      <w:pPr>
        <w:spacing w:after="0" w:line="135" w:lineRule="exact"/>
        <w:rPr>
          <w:sz w:val="20"/>
          <w:szCs w:val="20"/>
          <w:color w:val="auto"/>
        </w:rPr>
      </w:pPr>
    </w:p>
    <w:p>
      <w:pPr>
        <w:ind w:left="640" w:right="759" w:firstLine="438"/>
        <w:spacing w:after="0" w:line="248" w:lineRule="auto"/>
        <w:rPr>
          <w:sz w:val="20"/>
          <w:szCs w:val="20"/>
          <w:color w:val="auto"/>
        </w:rPr>
      </w:pPr>
      <w:r>
        <w:rPr>
          <w:rFonts w:ascii="Arial" w:cs="Arial" w:eastAsia="Arial" w:hAnsi="Arial"/>
          <w:sz w:val="14"/>
          <w:szCs w:val="14"/>
          <w:color w:val="auto"/>
        </w:rPr>
        <w:t>To evaluate these questions, we designed single-dose and repeat- dose studies in the experimental autoimmune encephalomyelitis, or EAE, murine model. The EAE model is a well validated model that resembles human MS, with results translating to clinical efficacy in third-party clinical trials, including with respect to the approved agent, filgotinib. In these experiments we assessed a therapeutic dosing paradigm, whereby treatment is initiated after the mice develop disease, which is considered a relatively higher threshold for efficacy and safety compared to prophylactic dosing, where treatment is initiated before the mice develop disease.</w:t>
      </w:r>
    </w:p>
    <w:p>
      <w:pPr>
        <w:spacing w:after="0" w:line="140" w:lineRule="exact"/>
        <w:rPr>
          <w:sz w:val="20"/>
          <w:szCs w:val="20"/>
          <w:color w:val="auto"/>
        </w:rPr>
      </w:pPr>
    </w:p>
    <w:p>
      <w:pPr>
        <w:ind w:left="640" w:right="699" w:firstLine="438"/>
        <w:spacing w:after="0" w:line="244" w:lineRule="auto"/>
        <w:rPr>
          <w:sz w:val="20"/>
          <w:szCs w:val="20"/>
          <w:color w:val="auto"/>
        </w:rPr>
      </w:pPr>
      <w:r>
        <w:rPr>
          <w:rFonts w:ascii="Arial" w:cs="Arial" w:eastAsia="Arial" w:hAnsi="Arial"/>
          <w:sz w:val="14"/>
          <w:szCs w:val="14"/>
          <w:color w:val="auto"/>
        </w:rPr>
        <w:t>In the single-dose study EAE was induced in C57BL/6 mice by subcutaneous administration of 100 µg of myelin oligodendrocyte glycoprotein, or MOG, in complete Freund’s adjuvant, or CFA, at day 0 with intraperitoneal injection of 100 ng of pertussis toxin at day 0 and day 1. At day 8, mice were injected subcutaneously with the TNFR2 agonist at 30 mg/kg, control V-body, or IL-2 Comparator 1 at 1 mg/kg with 10 animals per group. IL-2 Comparator 1 is IL-2 mutein N88D, an exemplar of compounds described in the article titled “</w:t>
      </w:r>
      <w:r>
        <w:rPr>
          <w:rFonts w:ascii="Arial" w:cs="Arial" w:eastAsia="Arial" w:hAnsi="Arial"/>
          <w:sz w:val="14"/>
          <w:szCs w:val="14"/>
          <w:i w:val="1"/>
          <w:iCs w:val="1"/>
          <w:color w:val="auto"/>
        </w:rPr>
        <w:t>A long-lived IL-2 mutein that selectively activates and</w:t>
      </w:r>
      <w:r>
        <w:rPr>
          <w:rFonts w:ascii="Arial" w:cs="Arial" w:eastAsia="Arial" w:hAnsi="Arial"/>
          <w:sz w:val="14"/>
          <w:szCs w:val="14"/>
          <w:color w:val="auto"/>
        </w:rPr>
        <w:t xml:space="preserve"> </w:t>
      </w:r>
      <w:r>
        <w:rPr>
          <w:rFonts w:ascii="Arial" w:cs="Arial" w:eastAsia="Arial" w:hAnsi="Arial"/>
          <w:sz w:val="14"/>
          <w:szCs w:val="14"/>
          <w:i w:val="1"/>
          <w:iCs w:val="1"/>
          <w:color w:val="auto"/>
        </w:rPr>
        <w:t>expands regulatory T cells as a therapy for autoimmune disease</w:t>
      </w:r>
      <w:r>
        <w:rPr>
          <w:rFonts w:ascii="Arial" w:cs="Arial" w:eastAsia="Arial" w:hAnsi="Arial"/>
          <w:sz w:val="14"/>
          <w:szCs w:val="14"/>
          <w:color w:val="auto"/>
        </w:rPr>
        <w:t>” published in Volume 95 of the Journal of Autoimmunity</w:t>
      </w:r>
      <w:r>
        <w:rPr>
          <w:rFonts w:ascii="Arial" w:cs="Arial" w:eastAsia="Arial" w:hAnsi="Arial"/>
          <w:sz w:val="14"/>
          <w:szCs w:val="14"/>
          <w:i w:val="1"/>
          <w:iCs w:val="1"/>
          <w:color w:val="auto"/>
        </w:rPr>
        <w:t xml:space="preserve"> </w:t>
      </w:r>
      <w:r>
        <w:rPr>
          <w:rFonts w:ascii="Arial" w:cs="Arial" w:eastAsia="Arial" w:hAnsi="Arial"/>
          <w:sz w:val="14"/>
          <w:szCs w:val="14"/>
          <w:color w:val="auto"/>
        </w:rPr>
        <w:t>and “</w:t>
      </w:r>
      <w:r>
        <w:rPr>
          <w:rFonts w:ascii="Arial" w:cs="Arial" w:eastAsia="Arial" w:hAnsi="Arial"/>
          <w:sz w:val="14"/>
          <w:szCs w:val="14"/>
          <w:i w:val="1"/>
          <w:iCs w:val="1"/>
          <w:color w:val="auto"/>
        </w:rPr>
        <w:t>Structure of the quaternary complex of interleukin-2 with its alpha, beta, and gamma receptors</w:t>
      </w:r>
      <w:r>
        <w:rPr>
          <w:rFonts w:ascii="Arial" w:cs="Arial" w:eastAsia="Arial" w:hAnsi="Arial"/>
          <w:sz w:val="14"/>
          <w:szCs w:val="14"/>
          <w:color w:val="auto"/>
        </w:rPr>
        <w:t>” published in Volume 310, Issue 5751 of Science. We observed significantly reduced disease severity in TNFR2 agonist treated mice, as compared to both the V-body control and IL-2 Comparator 1 treated groups at day 17. In this experiment, the IL-2 Comparator 1 treated group was statistically indistinguishable from placebo on EAE score at day 17. The results from this study are below.</w:t>
      </w:r>
    </w:p>
    <w:p>
      <w:pPr>
        <w:spacing w:after="0" w:line="30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EAE score on day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118110</wp:posOffset>
            </wp:positionV>
            <wp:extent cx="2987040" cy="19913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987040" cy="199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3" w:name="page154"/>
    <w:bookmarkEnd w:id="15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640" w:right="679"/>
        <w:spacing w:after="0" w:line="253" w:lineRule="auto"/>
        <w:rPr>
          <w:sz w:val="20"/>
          <w:szCs w:val="20"/>
          <w:color w:val="auto"/>
        </w:rPr>
      </w:pPr>
      <w:r>
        <w:rPr>
          <w:rFonts w:ascii="Arial" w:cs="Arial" w:eastAsia="Arial" w:hAnsi="Arial"/>
          <w:sz w:val="14"/>
          <w:szCs w:val="14"/>
          <w:i w:val="1"/>
          <w:iCs w:val="1"/>
          <w:color w:val="auto"/>
        </w:rPr>
        <w:t>To induce experimental autoimmune encephalomyelitis, C57BL/6 mice were injected with MOG peptide + CFA on day 0 and pertussis toxin on day 0 and day 1. On day 8, mice were injected subcutaneously with TNFR2 agonist at 30 mg/kg (n=10), IL-2 Comparator 1 at 1 mg/kg (n=10) or control molecule (n=10). One-way ANOVA, * = p &lt; 0.05; n.s.= not significant.</w:t>
      </w:r>
    </w:p>
    <w:p>
      <w:pPr>
        <w:spacing w:after="0" w:line="49" w:lineRule="exact"/>
        <w:rPr>
          <w:sz w:val="20"/>
          <w:szCs w:val="20"/>
          <w:color w:val="auto"/>
        </w:rPr>
      </w:pPr>
    </w:p>
    <w:p>
      <w:pPr>
        <w:ind w:left="640" w:right="679" w:firstLine="438"/>
        <w:spacing w:after="0" w:line="247" w:lineRule="auto"/>
        <w:rPr>
          <w:sz w:val="20"/>
          <w:szCs w:val="20"/>
          <w:color w:val="auto"/>
        </w:rPr>
      </w:pPr>
      <w:r>
        <w:rPr>
          <w:rFonts w:ascii="Arial" w:cs="Arial" w:eastAsia="Arial" w:hAnsi="Arial"/>
          <w:sz w:val="14"/>
          <w:szCs w:val="14"/>
          <w:color w:val="auto"/>
        </w:rPr>
        <w:t>In this study we also assessed the effect of treatment on Treg expansion, markers of Treg tissue healing potential, and trafficking to the site of disease, in this case the brain. As shown in the graphs below both TNFR2 agonist and IL-2 Comparator 1 resulted in a statistically significant ≥ 1.5x increase in Treg number in the spleen compared to control V-body. However, only TNFR2 agonist increased BATF expression on Treg and increased Treg number in the brain. We believe this study demonstrated the differentiated efficacy possible with TNFR2 agonism versus IL-2 agonism. In addition, we believe that the results demonstrate induction of a Treg tissue regenerative phenotype and trafficking of Treg to the site of disease with TNFR2 agonism.</w:t>
      </w:r>
    </w:p>
    <w:p>
      <w:pPr>
        <w:spacing w:after="0" w:line="54"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Treg Number in Tissue and Marker of Treg Tissue Regeneration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118745</wp:posOffset>
            </wp:positionV>
            <wp:extent cx="3416300" cy="24072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16300" cy="240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640" w:right="699"/>
        <w:spacing w:after="0" w:line="229" w:lineRule="auto"/>
        <w:rPr>
          <w:sz w:val="20"/>
          <w:szCs w:val="20"/>
          <w:color w:val="auto"/>
        </w:rPr>
      </w:pPr>
      <w:r>
        <w:rPr>
          <w:rFonts w:ascii="Arial" w:cs="Arial" w:eastAsia="Arial" w:hAnsi="Arial"/>
          <w:sz w:val="14"/>
          <w:szCs w:val="14"/>
          <w:i w:val="1"/>
          <w:iCs w:val="1"/>
          <w:color w:val="auto"/>
        </w:rPr>
        <w:t>Bar histograms show Treg (FOXP3+ of CD4) in spleen and brain and BATF</w:t>
      </w:r>
      <w:r>
        <w:rPr>
          <w:rFonts w:ascii="Arial" w:cs="Arial" w:eastAsia="Arial" w:hAnsi="Arial"/>
          <w:sz w:val="19"/>
          <w:szCs w:val="19"/>
          <w:i w:val="1"/>
          <w:iCs w:val="1"/>
          <w:color w:val="auto"/>
          <w:vertAlign w:val="superscript"/>
        </w:rPr>
        <w:t>high</w:t>
      </w:r>
      <w:r>
        <w:rPr>
          <w:rFonts w:ascii="Arial" w:cs="Arial" w:eastAsia="Arial" w:hAnsi="Arial"/>
          <w:sz w:val="14"/>
          <w:szCs w:val="14"/>
          <w:i w:val="1"/>
          <w:iCs w:val="1"/>
          <w:color w:val="auto"/>
        </w:rPr>
        <w:t xml:space="preserve"> cell of CD4+FOXP3+ in spleen, 5 days after injection. There was an average of four to eight mice +/- SD per group. One-way ANOVA, * = p &lt; 0.05; **** = p &lt; 0.0001.</w:t>
      </w:r>
    </w:p>
    <w:p>
      <w:pPr>
        <w:spacing w:after="0" w:line="144" w:lineRule="exact"/>
        <w:rPr>
          <w:sz w:val="20"/>
          <w:szCs w:val="20"/>
          <w:color w:val="auto"/>
        </w:rPr>
      </w:pPr>
    </w:p>
    <w:p>
      <w:pPr>
        <w:ind w:left="640" w:right="659" w:firstLine="438"/>
        <w:spacing w:after="0" w:line="250" w:lineRule="auto"/>
        <w:rPr>
          <w:sz w:val="20"/>
          <w:szCs w:val="20"/>
          <w:color w:val="auto"/>
        </w:rPr>
      </w:pPr>
      <w:r>
        <w:rPr>
          <w:rFonts w:ascii="Arial" w:cs="Arial" w:eastAsia="Arial" w:hAnsi="Arial"/>
          <w:sz w:val="14"/>
          <w:szCs w:val="14"/>
          <w:color w:val="auto"/>
        </w:rPr>
        <w:t xml:space="preserve">In the repeat-dose EAE study, disease was induced in C57BL/6 mice by subcutaneous administration of 100 µg of MOG in CFA at day 0 with intraperitoneal injection of 100 ng of pertussis toxin at day 0 and day 1. At day 8 and 15, mice were injected subcutaneously with the TNFR2 agonist at 30 mg/kg </w:t>
      </w:r>
      <w:r>
        <w:rPr>
          <w:rFonts w:ascii="Arial" w:cs="Arial" w:eastAsia="Arial" w:hAnsi="Arial"/>
          <w:sz w:val="14"/>
          <w:szCs w:val="14"/>
          <w:i w:val="1"/>
          <w:iCs w:val="1"/>
          <w:color w:val="auto"/>
        </w:rPr>
        <w:t>(n=18)</w:t>
      </w:r>
      <w:r>
        <w:rPr>
          <w:rFonts w:ascii="Arial" w:cs="Arial" w:eastAsia="Arial" w:hAnsi="Arial"/>
          <w:sz w:val="14"/>
          <w:szCs w:val="14"/>
          <w:color w:val="auto"/>
        </w:rPr>
        <w:t xml:space="preserve"> or control V-body </w:t>
      </w:r>
      <w:r>
        <w:rPr>
          <w:rFonts w:ascii="Arial" w:cs="Arial" w:eastAsia="Arial" w:hAnsi="Arial"/>
          <w:sz w:val="14"/>
          <w:szCs w:val="14"/>
          <w:i w:val="1"/>
          <w:iCs w:val="1"/>
          <w:color w:val="auto"/>
        </w:rPr>
        <w:t>(n=18)</w:t>
      </w:r>
      <w:r>
        <w:rPr>
          <w:rFonts w:ascii="Arial" w:cs="Arial" w:eastAsia="Arial" w:hAnsi="Arial"/>
          <w:sz w:val="14"/>
          <w:szCs w:val="14"/>
          <w:color w:val="auto"/>
        </w:rPr>
        <w:t>. In this experiment, we observed significantly reduced disease severity in TNFR2 agonist treated mice, compared to control group at day 20. The results from this study are shown below.</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4" w:name="page155"/>
    <w:bookmarkEnd w:id="15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640" w:right="659"/>
        <w:spacing w:after="0" w:line="291" w:lineRule="auto"/>
        <w:rPr>
          <w:sz w:val="20"/>
          <w:szCs w:val="20"/>
          <w:color w:val="auto"/>
        </w:rPr>
      </w:pPr>
      <w:r>
        <w:rPr>
          <w:rFonts w:ascii="Arial" w:cs="Arial" w:eastAsia="Arial" w:hAnsi="Arial"/>
          <w:sz w:val="14"/>
          <w:szCs w:val="14"/>
          <w:b w:val="1"/>
          <w:bCs w:val="1"/>
          <w:color w:val="auto"/>
        </w:rPr>
        <w:t>Repeat Therapeutic Doses of TNFR2 Agonist Reduced Development of Neurodegenerative Disease in Murine EAE Model of Human 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74930</wp:posOffset>
            </wp:positionV>
            <wp:extent cx="2038985" cy="31369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38985" cy="313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640" w:right="679"/>
        <w:spacing w:after="0" w:line="250" w:lineRule="auto"/>
        <w:rPr>
          <w:sz w:val="20"/>
          <w:szCs w:val="20"/>
          <w:color w:val="auto"/>
        </w:rPr>
      </w:pPr>
      <w:r>
        <w:rPr>
          <w:rFonts w:ascii="Arial" w:cs="Arial" w:eastAsia="Arial" w:hAnsi="Arial"/>
          <w:sz w:val="14"/>
          <w:szCs w:val="14"/>
          <w:i w:val="1"/>
          <w:iCs w:val="1"/>
          <w:color w:val="auto"/>
        </w:rPr>
        <w:t>A total of 36 mice, divided equally between the two treatment groups, were evaluated in this study. To induce experimental autoimmune encephalomyelitis, C57BL/6 mice were injected with MOG peptide + CFA on day 0 and pertussis toxin on day 0 and day 1. On day 8 and 15, mice were injected subcutaneously with mouse TNFR2 agonist or control molecule at 30 mg/kg. EAE score was assessed at day 20. T-test was used to evaluate statistical significance between treatment group and control; ** = p &lt; 0.01.</w:t>
      </w:r>
    </w:p>
    <w:p>
      <w:pPr>
        <w:spacing w:after="0" w:line="137" w:lineRule="exact"/>
        <w:rPr>
          <w:sz w:val="20"/>
          <w:szCs w:val="20"/>
          <w:color w:val="auto"/>
        </w:rPr>
      </w:pPr>
    </w:p>
    <w:p>
      <w:pPr>
        <w:ind w:left="640" w:right="699" w:firstLine="318"/>
        <w:spacing w:after="0" w:line="261" w:lineRule="auto"/>
        <w:rPr>
          <w:sz w:val="20"/>
          <w:szCs w:val="20"/>
          <w:color w:val="auto"/>
        </w:rPr>
      </w:pPr>
      <w:r>
        <w:rPr>
          <w:rFonts w:ascii="Arial" w:cs="Arial" w:eastAsia="Arial" w:hAnsi="Arial"/>
          <w:sz w:val="14"/>
          <w:szCs w:val="14"/>
          <w:color w:val="auto"/>
        </w:rPr>
        <w:t>In this study we also assessed the effect of repeat dosing on Treg expansion and selectivity. As shown in the graphs below the magnitude of Treg increase was the same five days after the first or second dose and, at both of these time points, no increase in CD4+ or CD8+ T effector cells was observed.</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5" w:name="page156"/>
    <w:bookmarkEnd w:id="15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Treg and Teff Cell Population Size After First and Second Dose of TNFR2 Agonist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118745</wp:posOffset>
            </wp:positionV>
            <wp:extent cx="4705350" cy="3211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05350" cy="321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640" w:right="699"/>
        <w:spacing w:after="0" w:line="259" w:lineRule="auto"/>
        <w:rPr>
          <w:sz w:val="20"/>
          <w:szCs w:val="20"/>
          <w:color w:val="auto"/>
        </w:rPr>
      </w:pPr>
      <w:r>
        <w:rPr>
          <w:rFonts w:ascii="Arial" w:cs="Arial" w:eastAsia="Arial" w:hAnsi="Arial"/>
          <w:sz w:val="14"/>
          <w:szCs w:val="14"/>
          <w:i w:val="1"/>
          <w:iCs w:val="1"/>
          <w:color w:val="auto"/>
        </w:rPr>
        <w:t>Bar histograms show Treg (FOXP3+ of CD4), CD4+FOXP3- of CD45, and CD8+FOXP3- of CD45+ immune cells in blood 5 days after 1st or 2nd injection (day 13 and 20 respectively). There was an average of four mice +/- SD per group; t-test, * = p &lt; 0.05; *** = p &lt; 0.001.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Treg Proliferation and Selectivity</w:t>
      </w:r>
    </w:p>
    <w:p>
      <w:pPr>
        <w:spacing w:after="0" w:line="84"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color w:val="auto"/>
        </w:rPr>
        <w:t>In one study, we compared OD-003 to a tool TNFR2 agonist monoclonal antibody, which we refer to as tool mAb, and IL-2 Comparator 1, for effects on proliferation of Treg and Teff in vitro. The tool mAb is a compound described in the article titled “</w:t>
      </w:r>
      <w:r>
        <w:rPr>
          <w:rFonts w:ascii="Arial" w:cs="Arial" w:eastAsia="Arial" w:hAnsi="Arial"/>
          <w:sz w:val="14"/>
          <w:szCs w:val="14"/>
          <w:i w:val="1"/>
          <w:iCs w:val="1"/>
          <w:color w:val="auto"/>
        </w:rPr>
        <w:t>An Autocrine TNF</w:t>
      </w:r>
      <w:r>
        <w:rPr>
          <w:rFonts w:ascii="Arial" w:cs="Arial" w:eastAsia="Arial" w:hAnsi="Arial"/>
          <w:sz w:val="14"/>
          <w:szCs w:val="14"/>
          <w:i w:val="1"/>
          <w:iCs w:val="1"/>
          <w:color w:val="202122"/>
        </w:rPr>
        <w:t>α</w:t>
      </w:r>
      <w:r>
        <w:rPr>
          <w:rFonts w:ascii="Arial" w:cs="Arial" w:eastAsia="Arial" w:hAnsi="Arial"/>
          <w:sz w:val="14"/>
          <w:szCs w:val="14"/>
          <w:i w:val="1"/>
          <w:iCs w:val="1"/>
          <w:color w:val="auto"/>
        </w:rPr>
        <w:t>—Tumor Necrosis Factor Receptor 2 Loop Promotes Epigenetic Effects Inducing Human</w:t>
      </w:r>
      <w:r>
        <w:rPr>
          <w:rFonts w:ascii="Arial" w:cs="Arial" w:eastAsia="Arial" w:hAnsi="Arial"/>
          <w:sz w:val="14"/>
          <w:szCs w:val="14"/>
          <w:color w:val="auto"/>
        </w:rPr>
        <w:t xml:space="preserve"> </w:t>
      </w:r>
      <w:r>
        <w:rPr>
          <w:rFonts w:ascii="Arial" w:cs="Arial" w:eastAsia="Arial" w:hAnsi="Arial"/>
          <w:sz w:val="14"/>
          <w:szCs w:val="14"/>
          <w:i w:val="1"/>
          <w:iCs w:val="1"/>
          <w:color w:val="auto"/>
        </w:rPr>
        <w:t>Treg Stability In Vitro</w:t>
      </w:r>
      <w:r>
        <w:rPr>
          <w:rFonts w:ascii="Arial" w:cs="Arial" w:eastAsia="Arial" w:hAnsi="Arial"/>
          <w:sz w:val="14"/>
          <w:szCs w:val="14"/>
          <w:color w:val="auto"/>
        </w:rPr>
        <w:t>” published in Volume 9 of Frontiers in Immunology. In this study, we cultured human PBMCs from</w:t>
      </w:r>
      <w:r>
        <w:rPr>
          <w:rFonts w:ascii="Arial" w:cs="Arial" w:eastAsia="Arial" w:hAnsi="Arial"/>
          <w:sz w:val="14"/>
          <w:szCs w:val="14"/>
          <w:i w:val="1"/>
          <w:iCs w:val="1"/>
          <w:color w:val="auto"/>
        </w:rPr>
        <w:t xml:space="preserve"> </w:t>
      </w:r>
      <w:r>
        <w:rPr>
          <w:rFonts w:ascii="Arial" w:cs="Arial" w:eastAsia="Arial" w:hAnsi="Arial"/>
          <w:sz w:val="14"/>
          <w:szCs w:val="14"/>
          <w:color w:val="auto"/>
        </w:rPr>
        <w:t>eight donors with 0.05 ng/mL of anti-CD3 antibody, and measured proliferation at day five by fluorescent cell-tracer dilution. OD-003 was observed to selectively induce proliferation of Treg (CD4+FOXP3+), whereas IL-2 Comparator 1 was observed to induce proliferation of both Treg and Teff (CD4+FOXP3- and CD8+FOXP3-), at concentrations above approximately 0.1 nM. The tool mAb was observed to show the lowest selectivity for Treg over Teff. The relative magnitude of proliferation of Treg compared to Teff observed supports our belief that treatment with OD-003 would result in less CD4 and CD8 activation compared to IL-2 comparators or the tool mAb. The comparisons and results described below may differ in material ways from third-party studies that use the tool mAb or IL-2 Comparator 1.</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6" w:name="page157"/>
    <w:bookmarkEnd w:id="15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Comparison of In Vitro Treg and Teff Proliferation in PBMCs Across OD-003, Tool mAb and IL-2 Comparator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118745</wp:posOffset>
            </wp:positionV>
            <wp:extent cx="4378325" cy="18961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78325"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right="759" w:firstLine="438"/>
        <w:spacing w:after="0" w:line="235" w:lineRule="auto"/>
        <w:rPr>
          <w:sz w:val="20"/>
          <w:szCs w:val="20"/>
          <w:color w:val="auto"/>
        </w:rPr>
      </w:pPr>
      <w:r>
        <w:rPr>
          <w:rFonts w:ascii="Arial" w:cs="Arial" w:eastAsia="Arial" w:hAnsi="Arial"/>
          <w:sz w:val="14"/>
          <w:szCs w:val="14"/>
          <w:color w:val="auto"/>
        </w:rPr>
        <w:t>Given the expression of TNFR2 on non-Treg and non-Teff cells, we tested in another study the effects of OD-003 on human vascular endothelial cells, or HUVEC, which expresses low levels of TNFR2, through assessing production of MCP-1 following treatment with OD-003. MCP-1 is a proinflammatory cytokine produced by endothelial cells following activation, and increased MCP-1 has been linked to increased risk of cardiovascular events and death. The data presented below reflects data from a cell pool of four donors. The two comparators included in this experiment were a control V-body and the tool mAb, which showed an approximately five-fold increase in HUVEC activation in vitro. We observed a selectivity margin for OD-003 greater than or equal to 250 times for the EC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of Treg activation, measured by</w:t>
      </w:r>
    </w:p>
    <w:p>
      <w:pPr>
        <w:spacing w:after="0" w:line="3" w:lineRule="exact"/>
        <w:rPr>
          <w:sz w:val="20"/>
          <w:szCs w:val="20"/>
          <w:color w:val="auto"/>
        </w:rPr>
      </w:pPr>
    </w:p>
    <w:p>
      <w:pPr>
        <w:ind w:left="640" w:right="859"/>
        <w:spacing w:after="0" w:line="226" w:lineRule="auto"/>
        <w:rPr>
          <w:sz w:val="20"/>
          <w:szCs w:val="20"/>
          <w:color w:val="auto"/>
        </w:rPr>
      </w:pPr>
      <w:r>
        <w:rPr>
          <w:rFonts w:ascii="Arial" w:cs="Arial" w:eastAsia="Arial" w:hAnsi="Arial"/>
          <w:sz w:val="14"/>
          <w:szCs w:val="14"/>
          <w:color w:val="auto"/>
        </w:rPr>
        <w:t>proliferation, compared to the absolute EC</w:t>
      </w:r>
      <w:r>
        <w:rPr>
          <w:rFonts w:ascii="Arial" w:cs="Arial" w:eastAsia="Arial" w:hAnsi="Arial"/>
          <w:sz w:val="19"/>
          <w:szCs w:val="19"/>
          <w:color w:val="auto"/>
          <w:vertAlign w:val="subscript"/>
        </w:rPr>
        <w:t>50</w:t>
      </w:r>
      <w:r>
        <w:rPr>
          <w:rFonts w:ascii="Arial" w:cs="Arial" w:eastAsia="Arial" w:hAnsi="Arial"/>
          <w:sz w:val="14"/>
          <w:szCs w:val="14"/>
          <w:color w:val="auto"/>
        </w:rPr>
        <w:t xml:space="preserve"> of endothelial cell activation (with E</w:t>
      </w:r>
      <w:r>
        <w:rPr>
          <w:rFonts w:ascii="Arial" w:cs="Arial" w:eastAsia="Arial" w:hAnsi="Arial"/>
          <w:sz w:val="19"/>
          <w:szCs w:val="19"/>
          <w:color w:val="auto"/>
          <w:vertAlign w:val="subscript"/>
        </w:rPr>
        <w:t>max</w:t>
      </w:r>
      <w:r>
        <w:rPr>
          <w:rFonts w:ascii="Arial" w:cs="Arial" w:eastAsia="Arial" w:hAnsi="Arial"/>
          <w:sz w:val="14"/>
          <w:szCs w:val="14"/>
          <w:color w:val="auto"/>
        </w:rPr>
        <w:t xml:space="preserve"> defined by response), measured by MCP-1 release. Therefore, we believe OD-003 shows selectivity for Treg versus off-target cell endothelial activation.</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Effects of OD-003 on HUVEC as Measured by Change in MCP-1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118745</wp:posOffset>
            </wp:positionV>
            <wp:extent cx="4766945" cy="17595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66945" cy="175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right="779" w:firstLine="438"/>
        <w:spacing w:after="0" w:line="281" w:lineRule="auto"/>
        <w:rPr>
          <w:sz w:val="20"/>
          <w:szCs w:val="20"/>
          <w:color w:val="auto"/>
        </w:rPr>
      </w:pPr>
      <w:r>
        <w:rPr>
          <w:rFonts w:ascii="Arial" w:cs="Arial" w:eastAsia="Arial" w:hAnsi="Arial"/>
          <w:sz w:val="14"/>
          <w:szCs w:val="14"/>
          <w:color w:val="auto"/>
        </w:rPr>
        <w:t>In in vitro preclinical studies, we have not observed signals of T cell activation (e.g., increases in IFN</w:t>
      </w:r>
      <w:r>
        <w:rPr>
          <w:rFonts w:ascii="Times New Roman" w:cs="Times New Roman" w:eastAsia="Times New Roman" w:hAnsi="Times New Roman"/>
          <w:sz w:val="14"/>
          <w:szCs w:val="14"/>
          <w:b w:val="1"/>
          <w:bCs w:val="1"/>
          <w:color w:val="auto"/>
        </w:rPr>
        <w:t>g</w:t>
      </w:r>
      <w:r>
        <w:rPr>
          <w:rFonts w:ascii="Arial" w:cs="Arial" w:eastAsia="Arial" w:hAnsi="Arial"/>
          <w:sz w:val="14"/>
          <w:szCs w:val="14"/>
          <w:color w:val="auto"/>
        </w:rPr>
        <w:t>, TNF or IL-2) that would suggest activation of non-Treg.</w:t>
      </w:r>
    </w:p>
    <w:p>
      <w:pPr>
        <w:spacing w:after="0" w:line="118" w:lineRule="exact"/>
        <w:rPr>
          <w:sz w:val="20"/>
          <w:szCs w:val="20"/>
          <w:color w:val="auto"/>
        </w:rPr>
      </w:pPr>
    </w:p>
    <w:p>
      <w:pPr>
        <w:ind w:left="640" w:right="699" w:firstLine="438"/>
        <w:spacing w:after="0" w:line="250" w:lineRule="auto"/>
        <w:rPr>
          <w:sz w:val="20"/>
          <w:szCs w:val="20"/>
          <w:color w:val="auto"/>
        </w:rPr>
      </w:pPr>
      <w:r>
        <w:rPr>
          <w:rFonts w:ascii="Arial" w:cs="Arial" w:eastAsia="Arial" w:hAnsi="Arial"/>
          <w:sz w:val="14"/>
          <w:szCs w:val="14"/>
          <w:color w:val="auto"/>
        </w:rPr>
        <w:t>A cytokine release assay was performed using human blood cells to evaluate the potential for OD-003 to cause an immune response by activating non-Treg cell types and triggering the release of cytokines. The graphs below summarize the results we observed from a preclinical study in which human whole blood samples from nine healthy participants were treated with four concentrations of OD-003, staphylococcal enterotoxin B (a positive control that is known to evoke a strong immune response), or trastuzumab (an approved drug for treating cancer used as a control to show a cytokine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7" w:name="page158"/>
    <w:bookmarkEnd w:id="15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679"/>
        <w:spacing w:after="0" w:line="251" w:lineRule="auto"/>
        <w:rPr>
          <w:sz w:val="20"/>
          <w:szCs w:val="20"/>
          <w:color w:val="auto"/>
        </w:rPr>
      </w:pPr>
      <w:r>
        <w:rPr>
          <w:rFonts w:ascii="Arial" w:cs="Arial" w:eastAsia="Arial" w:hAnsi="Arial"/>
          <w:sz w:val="14"/>
          <w:szCs w:val="14"/>
          <w:color w:val="auto"/>
        </w:rPr>
        <w:t>response that may result from a drug that can be safely administered). In these experiments, we did not observe increased cytokine proliferation in the OD-003 treated samples similar to the increases observed in the staphylococcal enterotoxin B samples and increases were similar to or lower than the levels observed with trastuzumab, an approved biologic. Based on the observations from this study, we believe OD-003 may not result in cytokine release associated with immune activation.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Levels of IFN</w:t>
      </w:r>
      <w:r>
        <w:rPr>
          <w:rFonts w:ascii="Times New Roman" w:cs="Times New Roman" w:eastAsia="Times New Roman" w:hAnsi="Times New Roman"/>
          <w:sz w:val="14"/>
          <w:szCs w:val="14"/>
          <w:b w:val="1"/>
          <w:bCs w:val="1"/>
          <w:color w:val="auto"/>
        </w:rPr>
        <w:t>g</w:t>
      </w:r>
      <w:r>
        <w:rPr>
          <w:rFonts w:ascii="Arial" w:cs="Arial" w:eastAsia="Arial" w:hAnsi="Arial"/>
          <w:sz w:val="14"/>
          <w:szCs w:val="14"/>
          <w:b w:val="1"/>
          <w:bCs w:val="1"/>
          <w:color w:val="auto"/>
        </w:rPr>
        <w:t>, TNF, or IL-2 Cytokines Following Treatment with OD-003, Staphylococcal Enterotoxin B and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Trastuzumab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146050</wp:posOffset>
            </wp:positionV>
            <wp:extent cx="4909820" cy="18961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09820"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14"/>
          <w:szCs w:val="14"/>
          <w:i w:val="1"/>
          <w:iCs w:val="1"/>
          <w:u w:val="single" w:color="auto"/>
          <w:color w:val="auto"/>
        </w:rPr>
        <w:t>Treg Function and Quality</w:t>
      </w:r>
    </w:p>
    <w:p>
      <w:pPr>
        <w:spacing w:after="0" w:line="84" w:lineRule="exact"/>
        <w:rPr>
          <w:sz w:val="20"/>
          <w:szCs w:val="20"/>
          <w:color w:val="auto"/>
        </w:rPr>
      </w:pPr>
    </w:p>
    <w:p>
      <w:pPr>
        <w:ind w:left="640" w:right="659" w:firstLine="438"/>
        <w:spacing w:after="0" w:line="254" w:lineRule="auto"/>
        <w:rPr>
          <w:sz w:val="20"/>
          <w:szCs w:val="20"/>
          <w:color w:val="auto"/>
        </w:rPr>
      </w:pPr>
      <w:r>
        <w:rPr>
          <w:rFonts w:ascii="Arial" w:cs="Arial" w:eastAsia="Arial" w:hAnsi="Arial"/>
          <w:sz w:val="14"/>
          <w:szCs w:val="14"/>
          <w:color w:val="auto"/>
        </w:rPr>
        <w:t>In another study, we assessed Treg function by observing the suppressive activity of isolated Treg on naïve T cells. Treg were stimulated with IL-2 and anti-CD3 and after five days Treg and Teff were analyzed at different ratios of Treg:Teff for calculation of Teff proliferation. Across five donors, we observed an increased Treg to CD4 ratio when treated with OD-003 as compared to control V-body. The effects at a 1:4 Treg to Teff ratio are shown below.</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Inhibition of Teff Proliferation by OD-003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118745</wp:posOffset>
            </wp:positionV>
            <wp:extent cx="4555490" cy="130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55490"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right="659" w:firstLine="438"/>
        <w:spacing w:after="0" w:line="261" w:lineRule="auto"/>
        <w:rPr>
          <w:sz w:val="20"/>
          <w:szCs w:val="20"/>
          <w:color w:val="auto"/>
        </w:rPr>
      </w:pPr>
      <w:r>
        <w:rPr>
          <w:rFonts w:ascii="Arial" w:cs="Arial" w:eastAsia="Arial" w:hAnsi="Arial"/>
          <w:sz w:val="14"/>
          <w:szCs w:val="14"/>
          <w:color w:val="auto"/>
        </w:rPr>
        <w:t>The observations above are consistent with our observations from earlier studies we conducted using other TNFR2 agonists discovered during our development of OD-003 and our characterization of IL-2 Comparator 2 (which performed similarly to control).</w:t>
      </w:r>
    </w:p>
    <w:p>
      <w:pPr>
        <w:spacing w:after="0" w:line="130" w:lineRule="exact"/>
        <w:rPr>
          <w:sz w:val="20"/>
          <w:szCs w:val="20"/>
          <w:color w:val="auto"/>
        </w:rPr>
      </w:pPr>
    </w:p>
    <w:p>
      <w:pPr>
        <w:ind w:left="640" w:right="739" w:firstLine="438"/>
        <w:spacing w:after="0" w:line="254" w:lineRule="auto"/>
        <w:rPr>
          <w:sz w:val="20"/>
          <w:szCs w:val="20"/>
          <w:color w:val="auto"/>
        </w:rPr>
      </w:pPr>
      <w:r>
        <w:rPr>
          <w:rFonts w:ascii="Arial" w:cs="Arial" w:eastAsia="Arial" w:hAnsi="Arial"/>
          <w:sz w:val="14"/>
          <w:szCs w:val="14"/>
          <w:color w:val="auto"/>
        </w:rPr>
        <w:t>In another study, we compared OD-003 against IL-2 Comparator 2, to evaluate their ability to improve markers of Treg function and stability as measured by FOXP3 and EZH2 expression. IL-2 Comparator 2 was discovered by Pandion Therapeutics, Inc. and is a compound described in sequence 40 of the patent US10174091B1. The comparisons and results described below may differ in material ways from third-party studies that use IL-2 Comparator 2. EZH2 is an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8" w:name="page159"/>
    <w:bookmarkEnd w:id="15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759"/>
        <w:spacing w:after="0" w:line="261" w:lineRule="auto"/>
        <w:rPr>
          <w:sz w:val="20"/>
          <w:szCs w:val="20"/>
          <w:color w:val="auto"/>
        </w:rPr>
      </w:pPr>
      <w:r>
        <w:rPr>
          <w:rFonts w:ascii="Arial" w:cs="Arial" w:eastAsia="Arial" w:hAnsi="Arial"/>
          <w:sz w:val="14"/>
          <w:szCs w:val="14"/>
          <w:color w:val="auto"/>
        </w:rPr>
        <w:t>epigenetic regulator of FOXP3 expression and by extension, Treg quality. Isolated naïve Treg from 12 human donors were stimulated with the indicated molecule in the presence of anti-CD3 and IL-2 and assessed at day 5. We observed a significant increase in FOXP3 and EZH2 expression with OD-003 and did not observe changes with IL-2 Comparator 2.</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Comparison of FOXP3 and EZH2 Changes to Stimulation from OD-003 or IL-2 Comparator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118745</wp:posOffset>
            </wp:positionV>
            <wp:extent cx="4262120" cy="19570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62120" cy="195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One-way ANOVA run to determine statistical significance between groups. ** = p &lt; 0.01; n.s. = not significant.</w:t>
      </w:r>
    </w:p>
    <w:p>
      <w:pPr>
        <w:spacing w:after="0" w:line="166"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To assess the stability of Treg in an inflammatory environment and the ability to prevent their conversion to pathogenic inflammatory cells, we conducted a study utilizing an in vitro model in which we purified and stimulated naïve human Treg from 12 donors with anti-CD3 and IL-2 plus control V-body, OD-003 or IL-2 Comparator 2. To assess conversion to IL-17 production, a marker of conversion to a Th17 immune cell, we challenged these stimulated Treg with a cocktail of IL-1ß, IL-21, IL-23 and TGF-ß. After 11 days (IFN</w:t>
      </w:r>
      <w:r>
        <w:rPr>
          <w:rFonts w:ascii="Times New Roman" w:cs="Times New Roman" w:eastAsia="Times New Roman" w:hAnsi="Times New Roman"/>
          <w:sz w:val="14"/>
          <w:szCs w:val="14"/>
          <w:b w:val="1"/>
          <w:bCs w:val="1"/>
          <w:color w:val="auto"/>
        </w:rPr>
        <w:t>g</w:t>
      </w:r>
      <w:r>
        <w:rPr>
          <w:rFonts w:ascii="Arial" w:cs="Arial" w:eastAsia="Arial" w:hAnsi="Arial"/>
          <w:sz w:val="14"/>
          <w:szCs w:val="14"/>
          <w:color w:val="auto"/>
        </w:rPr>
        <w:t>) and 17 days (IL-17A) respectively, we observed that OD-003 prevented the large majority of conversion of Treg to a proinflammatory phenotype. We used a similar cocktail in a subsequent study on Treg from the same 12 donors without TGF-ß, in which we observed OD-003 was statistically superior to IL-2 Comparator 2 in preventing the emergence of IFN</w:t>
      </w:r>
      <w:r>
        <w:rPr>
          <w:rFonts w:ascii="Times New Roman" w:cs="Times New Roman" w:eastAsia="Times New Roman" w:hAnsi="Times New Roman"/>
          <w:sz w:val="14"/>
          <w:szCs w:val="14"/>
          <w:b w:val="1"/>
          <w:bCs w:val="1"/>
          <w:color w:val="auto"/>
        </w:rPr>
        <w:t>g</w:t>
      </w:r>
      <w:r>
        <w:rPr>
          <w:rFonts w:ascii="Arial" w:cs="Arial" w:eastAsia="Arial" w:hAnsi="Arial"/>
          <w:sz w:val="14"/>
          <w:szCs w:val="14"/>
          <w:color w:val="auto"/>
        </w:rPr>
        <w:t xml:space="preserve"> positive cells. Together, these results support our belief that TNFR2 agonism with OD-003 has the potential to present advantages over IL-2-based approaches in improving the function and quality of Treg.</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9" w:name="page160"/>
    <w:bookmarkEnd w:id="15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Comparison of IFN</w:t>
      </w:r>
      <w:r>
        <w:rPr>
          <w:rFonts w:ascii="Times New Roman" w:cs="Times New Roman" w:eastAsia="Times New Roman" w:hAnsi="Times New Roman"/>
          <w:sz w:val="14"/>
          <w:szCs w:val="14"/>
          <w:b w:val="1"/>
          <w:bCs w:val="1"/>
          <w:color w:val="auto"/>
        </w:rPr>
        <w:t>g</w:t>
      </w:r>
      <w:r>
        <w:rPr>
          <w:rFonts w:ascii="Arial" w:cs="Arial" w:eastAsia="Arial" w:hAnsi="Arial"/>
          <w:sz w:val="14"/>
          <w:szCs w:val="14"/>
          <w:b w:val="1"/>
          <w:bCs w:val="1"/>
          <w:color w:val="auto"/>
        </w:rPr>
        <w:t xml:space="preserve"> and IL-17A-Positive Cells After Stimulus via Cytokines to Determine Function of Treg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126365</wp:posOffset>
            </wp:positionV>
            <wp:extent cx="3880485" cy="20116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8048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2120" w:right="120"/>
        <w:spacing w:after="0" w:line="251" w:lineRule="auto"/>
        <w:rPr>
          <w:sz w:val="20"/>
          <w:szCs w:val="20"/>
          <w:color w:val="auto"/>
        </w:rPr>
      </w:pPr>
      <w:r>
        <w:rPr>
          <w:rFonts w:ascii="Arial" w:cs="Arial" w:eastAsia="Arial" w:hAnsi="Arial"/>
          <w:sz w:val="14"/>
          <w:szCs w:val="14"/>
          <w:i w:val="1"/>
          <w:iCs w:val="1"/>
          <w:color w:val="auto"/>
        </w:rPr>
        <w:t>One-way ANOVA calculated to evaluate statistical significance between groups. * = p &lt; 0.05; ** = p &lt; 0.01; *** = p &lt; 0.001; **** = p &lt; 0.0001; n.s. = not significant.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i w:val="1"/>
          <w:iCs w:val="1"/>
          <w:u w:val="single" w:color="auto"/>
          <w:color w:val="auto"/>
        </w:rPr>
        <w:t>Promote Treg Migration to Tissue</w:t>
      </w:r>
    </w:p>
    <w:p>
      <w:pPr>
        <w:spacing w:after="0" w:line="84" w:lineRule="exact"/>
        <w:rPr>
          <w:sz w:val="20"/>
          <w:szCs w:val="20"/>
          <w:color w:val="auto"/>
        </w:rPr>
      </w:pPr>
    </w:p>
    <w:p>
      <w:pPr>
        <w:ind w:left="640" w:right="839" w:firstLine="438"/>
        <w:spacing w:after="0" w:line="250" w:lineRule="auto"/>
        <w:rPr>
          <w:sz w:val="20"/>
          <w:szCs w:val="20"/>
          <w:color w:val="auto"/>
        </w:rPr>
      </w:pPr>
      <w:r>
        <w:rPr>
          <w:rFonts w:ascii="Arial" w:cs="Arial" w:eastAsia="Arial" w:hAnsi="Arial"/>
          <w:sz w:val="14"/>
          <w:szCs w:val="14"/>
          <w:color w:val="auto"/>
        </w:rPr>
        <w:t>We believe the full benefit of a Treg therapy will be best achieved through recruitment of Treg to the site of disease, where it can suppress inflammation and an autoimmune response but also address tissue damage that occurs as a result of chronic disease. CCR8 is a marker of tissue homing capacity. In the study below, we observed in isolated naïve human Treg that, in the presence of anti-CD3 and IL-2, OD-003 increased CCR8 expression, whereas IL-2 Comparator 2 did not result in a change in CCR8 expression.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CCR8 Expression Following Exposure to OD-003 and IL-2 Comparator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118745</wp:posOffset>
            </wp:positionV>
            <wp:extent cx="2564130" cy="19297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641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One-way ANOVA calculated to evaluate statistical significance between groups. *** = p &lt; 0.001; n.s. = not significant.</w:t>
      </w:r>
    </w:p>
    <w:p>
      <w:pPr>
        <w:spacing w:after="0" w:line="166" w:lineRule="exact"/>
        <w:rPr>
          <w:sz w:val="20"/>
          <w:szCs w:val="20"/>
          <w:color w:val="auto"/>
        </w:rPr>
      </w:pPr>
    </w:p>
    <w:p>
      <w:pPr>
        <w:ind w:left="640" w:right="739" w:firstLine="438"/>
        <w:spacing w:after="0" w:line="261" w:lineRule="auto"/>
        <w:rPr>
          <w:sz w:val="20"/>
          <w:szCs w:val="20"/>
          <w:color w:val="auto"/>
        </w:rPr>
      </w:pPr>
      <w:r>
        <w:rPr>
          <w:rFonts w:ascii="Arial" w:cs="Arial" w:eastAsia="Arial" w:hAnsi="Arial"/>
          <w:sz w:val="14"/>
          <w:szCs w:val="14"/>
          <w:color w:val="auto"/>
        </w:rPr>
        <w:t xml:space="preserve">Additional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with control V-body, OD-003 and IL-2 Comparator 1 using human TNFR2 knock-in mice, were conducted. We observed a selective increase in Treg compared to CD4 or CD8 cells across tissues, including the spleen, blood and colon with OD-003.</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0" w:name="page161"/>
    <w:bookmarkEnd w:id="16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2120" w:right="60"/>
        <w:spacing w:after="0" w:line="291" w:lineRule="auto"/>
        <w:rPr>
          <w:sz w:val="20"/>
          <w:szCs w:val="20"/>
          <w:color w:val="auto"/>
        </w:rPr>
      </w:pPr>
      <w:r>
        <w:rPr>
          <w:rFonts w:ascii="Arial" w:cs="Arial" w:eastAsia="Arial" w:hAnsi="Arial"/>
          <w:sz w:val="14"/>
          <w:szCs w:val="14"/>
          <w:b w:val="1"/>
          <w:bCs w:val="1"/>
          <w:color w:val="auto"/>
        </w:rPr>
        <w:t>Proliferation of Treg, CD4 and CD8 in Spleen, Blood and Colon Following Exposure to OD-003, Control V-Body and IL-2 Comparator 1 in hTNFR2 Knock-In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74930</wp:posOffset>
            </wp:positionV>
            <wp:extent cx="4596130" cy="29254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96130" cy="292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2120" w:right="40"/>
        <w:spacing w:after="0" w:line="251" w:lineRule="auto"/>
        <w:rPr>
          <w:sz w:val="20"/>
          <w:szCs w:val="20"/>
          <w:color w:val="auto"/>
        </w:rPr>
      </w:pPr>
      <w:r>
        <w:rPr>
          <w:rFonts w:ascii="Arial" w:cs="Arial" w:eastAsia="Arial" w:hAnsi="Arial"/>
          <w:sz w:val="14"/>
          <w:szCs w:val="14"/>
          <w:i w:val="1"/>
          <w:iCs w:val="1"/>
          <w:color w:val="auto"/>
        </w:rPr>
        <w:t>Percent of Treg, CD4 and CD8 observed in immune cells (FOXP3+CD4+ of CD45+). One-way ANOVA calculated to evaluate statistical significance between groups. * = p &lt; 0.05; *** = p &lt; 0.001; **** = p &lt; 0.0001; n.s. = not significant.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Non-GLP Repeat Dose Range Finding Studies in Non-Human Primates and Preliminary Human Dose Projection</w:t>
      </w:r>
    </w:p>
    <w:p>
      <w:pPr>
        <w:spacing w:after="0" w:line="84"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To assess the pharmacodynamic effect of Treg modulation by TNFR2 agonism and inform potential human dosing intervals we have conducted a non-GLP dose range finding study with two dose administrations of OD-003 in non-human primates. In this study, PK, PD, immunophenotyping of blood cells, measurement of blood cytokines, and clinical pathology were assessed.</w:t>
      </w:r>
    </w:p>
    <w:p>
      <w:pPr>
        <w:spacing w:after="0" w:line="135" w:lineRule="exact"/>
        <w:rPr>
          <w:sz w:val="20"/>
          <w:szCs w:val="20"/>
          <w:color w:val="auto"/>
        </w:rPr>
      </w:pPr>
    </w:p>
    <w:p>
      <w:pPr>
        <w:ind w:left="640" w:right="799" w:firstLine="438"/>
        <w:spacing w:after="0" w:line="254" w:lineRule="auto"/>
        <w:rPr>
          <w:sz w:val="20"/>
          <w:szCs w:val="20"/>
          <w:color w:val="auto"/>
        </w:rPr>
      </w:pPr>
      <w:r>
        <w:rPr>
          <w:rFonts w:ascii="Arial" w:cs="Arial" w:eastAsia="Arial" w:hAnsi="Arial"/>
          <w:sz w:val="14"/>
          <w:szCs w:val="14"/>
          <w:color w:val="auto"/>
        </w:rPr>
        <w:t>Below we summarize results from the repeat dose range-finding NHP study in which two doses of OD-003 were given on days 1 and 15. At a dose level of 0.3 mg/kg, we observed a greater than 1.5-fold increase in Treg after each dose administration with no increase in CD4+ or CD8+ T effector cells. A Treg increase of 1.5x was established as a PD target because this level of increase has been associated with clinical efficacy of IL-2 therapies.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1" w:name="page162"/>
    <w:bookmarkEnd w:id="16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PK and PD from Non-GLP Repeat Dose, Dose Range Finding, Study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118745</wp:posOffset>
            </wp:positionV>
            <wp:extent cx="2755265" cy="1179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755265" cy="117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40" w:right="899" w:firstLine="438"/>
        <w:spacing w:after="0" w:line="261" w:lineRule="auto"/>
        <w:rPr>
          <w:sz w:val="20"/>
          <w:szCs w:val="20"/>
          <w:color w:val="auto"/>
        </w:rPr>
      </w:pPr>
      <w:r>
        <w:rPr>
          <w:rFonts w:ascii="Arial" w:cs="Arial" w:eastAsia="Arial" w:hAnsi="Arial"/>
          <w:sz w:val="14"/>
          <w:szCs w:val="14"/>
          <w:color w:val="auto"/>
        </w:rPr>
        <w:t>Doses of up to 3 mg/kg were well tolerated with no adverse changes in hematology parameters after the first or second doses. In addition, we observed no evidence of cytokine release syndrome and no adverse pathology findings. Based on the results of this study we believe the NOAEL is ≥ 3 mg/kg.</w:t>
      </w:r>
    </w:p>
    <w:p>
      <w:pPr>
        <w:spacing w:after="0" w:line="130" w:lineRule="exact"/>
        <w:rPr>
          <w:sz w:val="20"/>
          <w:szCs w:val="20"/>
          <w:color w:val="auto"/>
        </w:rPr>
      </w:pPr>
    </w:p>
    <w:p>
      <w:pPr>
        <w:ind w:left="640" w:right="859" w:firstLine="438"/>
        <w:spacing w:after="0" w:line="261" w:lineRule="auto"/>
        <w:rPr>
          <w:sz w:val="20"/>
          <w:szCs w:val="20"/>
          <w:color w:val="auto"/>
        </w:rPr>
      </w:pPr>
      <w:r>
        <w:rPr>
          <w:rFonts w:ascii="Arial" w:cs="Arial" w:eastAsia="Arial" w:hAnsi="Arial"/>
          <w:sz w:val="14"/>
          <w:szCs w:val="14"/>
          <w:color w:val="auto"/>
        </w:rPr>
        <w:t>Pending the results of the GLP-toxicology study, we have completed initial human dose projection with methodology including interspecies scaling/allometry and PK/PD modeling based on in vitro activity in human and NHP cells, murine PK/PD and efficacy, and NHP PK/PD.</w:t>
      </w:r>
    </w:p>
    <w:p>
      <w:pPr>
        <w:spacing w:after="0" w:line="130" w:lineRule="exact"/>
        <w:rPr>
          <w:sz w:val="20"/>
          <w:szCs w:val="20"/>
          <w:color w:val="auto"/>
        </w:rPr>
      </w:pPr>
    </w:p>
    <w:p>
      <w:pPr>
        <w:ind w:left="640" w:right="879" w:firstLine="438"/>
        <w:spacing w:after="0" w:line="261" w:lineRule="auto"/>
        <w:rPr>
          <w:sz w:val="20"/>
          <w:szCs w:val="20"/>
          <w:color w:val="auto"/>
        </w:rPr>
      </w:pPr>
      <w:r>
        <w:rPr>
          <w:rFonts w:ascii="Arial" w:cs="Arial" w:eastAsia="Arial" w:hAnsi="Arial"/>
          <w:sz w:val="14"/>
          <w:szCs w:val="14"/>
          <w:color w:val="auto"/>
        </w:rPr>
        <w:t>Based on these approaches we believe a dose of 0.3 mg/kg administered every 2 to 4 weeks could be an efficacious human dose and provide an approximately 10x therapeutic margin compared to the well tolerated dose of 3 mg/kg from the dose range finding study.</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Current Status and Future Clinical Plans for OD-003</w:t>
      </w:r>
    </w:p>
    <w:p>
      <w:pPr>
        <w:spacing w:after="0" w:line="84" w:lineRule="exact"/>
        <w:rPr>
          <w:sz w:val="20"/>
          <w:szCs w:val="20"/>
          <w:color w:val="auto"/>
        </w:rPr>
      </w:pPr>
    </w:p>
    <w:p>
      <w:pPr>
        <w:ind w:left="640" w:right="679" w:firstLine="438"/>
        <w:spacing w:after="0" w:line="247" w:lineRule="auto"/>
        <w:rPr>
          <w:sz w:val="20"/>
          <w:szCs w:val="20"/>
          <w:color w:val="auto"/>
        </w:rPr>
      </w:pPr>
      <w:r>
        <w:rPr>
          <w:rFonts w:ascii="Arial" w:cs="Arial" w:eastAsia="Arial" w:hAnsi="Arial"/>
          <w:sz w:val="14"/>
          <w:szCs w:val="14"/>
          <w:color w:val="auto"/>
        </w:rPr>
        <w:t>IND-enabling activities for OD-003 are ongoing and expected to complete in the first quarter of 2027. If these results are favorable, we may file a CTA and, if that CTA is approved by regulatory agencies, we could potentially conduct a phase 1 trial that would consist of SAD and MAD parts in approximately 80 healthy participants. The expected primary endpoint of a potential phase 1 trial would be safety and tolerability, but PK and PD would also be assessed in blood and skin biopsies to evaluate effect in tissue. Following completion of the MAD study in healthy participants, a third part of the study would be completed by enrolling one or more cohorts of patients with an inflammatory disease, such as moderate-to-severe AD to evaluate safety and PD biomarkers and identify clinical signals of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43180</wp:posOffset>
            </wp:positionV>
            <wp:extent cx="4814570" cy="22777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14570"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2" w:name="page163"/>
    <w:bookmarkEnd w:id="16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819" w:firstLine="443"/>
        <w:spacing w:after="0" w:line="261" w:lineRule="auto"/>
        <w:rPr>
          <w:sz w:val="20"/>
          <w:szCs w:val="20"/>
          <w:color w:val="auto"/>
        </w:rPr>
      </w:pPr>
      <w:r>
        <w:rPr>
          <w:rFonts w:ascii="Arial" w:cs="Arial" w:eastAsia="Arial" w:hAnsi="Arial"/>
          <w:sz w:val="14"/>
          <w:szCs w:val="14"/>
          <w:color w:val="auto"/>
        </w:rPr>
        <w:t>We have not yet completed the design of a phase 1/2a trial for this program, and the final study design, including dose levels, cohort size, and specific pharmacodynamic assessments, will be informed by ongoing preclinical and translational studies and is subject to the receipt of authorization from relevant regulatory authorities.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Additional Wholly Owned Programs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TSLP/IL-33</w:t>
      </w:r>
    </w:p>
    <w:p>
      <w:pPr>
        <w:spacing w:after="0" w:line="84" w:lineRule="exact"/>
        <w:rPr>
          <w:sz w:val="20"/>
          <w:szCs w:val="20"/>
          <w:color w:val="auto"/>
        </w:rPr>
      </w:pPr>
    </w:p>
    <w:p>
      <w:pPr>
        <w:ind w:left="640" w:right="719" w:firstLine="438"/>
        <w:spacing w:after="0" w:line="250" w:lineRule="auto"/>
        <w:rPr>
          <w:sz w:val="20"/>
          <w:szCs w:val="20"/>
          <w:color w:val="auto"/>
        </w:rPr>
      </w:pPr>
      <w:r>
        <w:rPr>
          <w:rFonts w:ascii="Arial" w:cs="Arial" w:eastAsia="Arial" w:hAnsi="Arial"/>
          <w:sz w:val="14"/>
          <w:szCs w:val="14"/>
          <w:color w:val="auto"/>
        </w:rPr>
        <w:t>We are developing a bispecific protein therapeutic candidate designed to bind to and block signaling from two upstream alarmins, TSLP and IL-33, that are both drivers of asthma and other respiratory diseases. TSLP is a validated drug target, with tezepelumab approved for the treatment of asthma. IL-33 antagonists have also shown clinical activity in asthma and COPD, with the first third-party phase 3 clinical studies showing clinically and statistically significant improvement in COPD in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97155</wp:posOffset>
            </wp:positionV>
            <wp:extent cx="4752975" cy="16979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5297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679" w:firstLine="438"/>
        <w:spacing w:after="0" w:line="243" w:lineRule="auto"/>
        <w:rPr>
          <w:sz w:val="20"/>
          <w:szCs w:val="20"/>
          <w:color w:val="auto"/>
        </w:rPr>
      </w:pPr>
      <w:r>
        <w:rPr>
          <w:rFonts w:ascii="Arial" w:cs="Arial" w:eastAsia="Arial" w:hAnsi="Arial"/>
          <w:sz w:val="14"/>
          <w:szCs w:val="14"/>
          <w:color w:val="auto"/>
        </w:rPr>
        <w:t>TSLP and IL-33 trigger inflammation in the lung in response to inhaled environmental toxins and infectious agents resulting in damage to lung tissue and pulmonary dysfunction. TSLP and IL-33 are both present at increased levels in bronchoalveolar lavage fluid, or BALF, from asthma patients with disease that is resistant to corticosteroid therapy. These two alarmins have redundant, activating effects on immune cell types including innate lymphoid cells, called ILC2 cells. ILC2 cells are Th2 lymphocytes and macrophages that mediate disease in asthma and COPD. This mechanistic model of disease in asthma and COPD provides a rationale for developing a medicine that works by blocking both TSLP and IL-33. In addition, genetic evidence supports our hypothesis that blocking TSLP and IL-33 in combination has the potential to treat COPD. We conducted an analysis of UK biobank data and compared 26,444 COPD patients to 230,128 non-COPD controls, the results of which are shown below. In this database, genetic variants in TSLP and IL-33 that were linked to reduced gene activity are each associated with a lower risk of COPD. Furthermore, people with genetic variants that reduce activity in both TSLP and IL-33 showed odds ratios consistent with a synergistic, protective effect in COPD. Our results are consistent with analysis published by a third-party pharmaceutical company. Based on the redundant proinflammatory effects of these two alarmins and genetic evidence supporting the potential synergy of dual cytokine inhibition, we believe that a protein therapeutic targeting both TSLP and IL-33 could be more effective than a therapeutic targeting either alone.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3" w:name="page164"/>
    <w:bookmarkEnd w:id="16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Genetic Evidence Supports Blocking TSLP and IL-33 in Combination for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118745</wp:posOffset>
            </wp:positionV>
            <wp:extent cx="3996055" cy="22301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96055" cy="223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IL-33 SNP (rs1888909-C): OR = 0.95, p-value = 3.7e-6; TSLP SNP (rs1837253-T): OR = 0.94, p-value = 2.2e-8;</w:t>
      </w:r>
    </w:p>
    <w:p>
      <w:pPr>
        <w:spacing w:after="0" w:line="12"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IL-33 and TSLP SNP combined: OR = 0.86, p-value =1.6e-2; 95% confidence interval is shown.</w:t>
      </w:r>
    </w:p>
    <w:p>
      <w:pPr>
        <w:spacing w:after="0" w:line="158" w:lineRule="exact"/>
        <w:rPr>
          <w:sz w:val="20"/>
          <w:szCs w:val="20"/>
          <w:color w:val="auto"/>
        </w:rPr>
      </w:pPr>
    </w:p>
    <w:p>
      <w:pPr>
        <w:ind w:left="640" w:right="799" w:firstLine="438"/>
        <w:spacing w:after="0" w:line="261" w:lineRule="auto"/>
        <w:rPr>
          <w:sz w:val="20"/>
          <w:szCs w:val="20"/>
          <w:color w:val="auto"/>
        </w:rPr>
      </w:pPr>
      <w:r>
        <w:rPr>
          <w:rFonts w:ascii="Arial" w:cs="Arial" w:eastAsia="Arial" w:hAnsi="Arial"/>
          <w:sz w:val="14"/>
          <w:szCs w:val="14"/>
          <w:color w:val="auto"/>
        </w:rPr>
        <w:t>We are developing our bispecific protein therapeutic candidate targeting TSLP and IL-33 to treat patients with asthma and COPD, including both type 2 and non-type 2 disease. We believe this bispecific treatment approach may be effective in patients whose disease is not well-controlled by other therapies, including inhaled corticosteroids.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Progress on this program has resulted in the identification of high-affinity monospecific antagonists of TSLP and IL-</w:t>
      </w:r>
    </w:p>
    <w:p>
      <w:pPr>
        <w:spacing w:after="0" w:line="14" w:lineRule="exact"/>
        <w:rPr>
          <w:sz w:val="20"/>
          <w:szCs w:val="20"/>
          <w:color w:val="auto"/>
        </w:rPr>
      </w:pPr>
    </w:p>
    <w:p>
      <w:pPr>
        <w:ind w:left="640" w:right="679" w:hanging="2"/>
        <w:spacing w:after="0" w:line="242" w:lineRule="auto"/>
        <w:tabs>
          <w:tab w:leader="none" w:pos="879"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program is in candidate selection to nominate a bispecific protein development candidate, which we anticipate nominating in the second quarter of 2026. The below table summarizes an in vitro head-to-head study using human PBMCs where we compared our bispecific lead to TSLP or IL-33 inhibitors approved or in late-stage clinical development. We used these inhibitors in our own preclinical studies to compare the potency of the third-party TSLP or IL-33 inhibitors against our lead candidate. The comparisons and results described below may differ in material ways from third-party studies that use these inhibitors. In these head-to-head studies we demonstrated comparable potency to the most advanced monospecific anti-IL-33 in development, tozorakimab. In addition, we showed superiority to an anti-TSLP antibody believed to be GB-0895, a highly potent candidate, currently in development, as well as the approved agent, tezepelumab. GB-0895 was discovered by Generate Biomedicines, Inc. and is believed to correspond to sequences 106 and 120 described in U.S. patent 20250109193.</w:t>
      </w:r>
    </w:p>
    <w:p>
      <w:pPr>
        <w:spacing w:after="0" w:line="145" w:lineRule="exact"/>
        <w:rPr>
          <w:sz w:val="20"/>
          <w:szCs w:val="20"/>
          <w:color w:val="auto"/>
        </w:rPr>
      </w:pPr>
    </w:p>
    <w:p>
      <w:pPr>
        <w:ind w:left="4160" w:right="759" w:hanging="3001"/>
        <w:spacing w:after="0" w:line="291" w:lineRule="auto"/>
        <w:rPr>
          <w:sz w:val="20"/>
          <w:szCs w:val="20"/>
          <w:color w:val="auto"/>
        </w:rPr>
      </w:pPr>
      <w:r>
        <w:rPr>
          <w:rFonts w:ascii="Arial" w:cs="Arial" w:eastAsia="Arial" w:hAnsi="Arial"/>
          <w:sz w:val="14"/>
          <w:szCs w:val="14"/>
          <w:b w:val="1"/>
          <w:bCs w:val="1"/>
          <w:color w:val="auto"/>
        </w:rPr>
        <w:t>Potency of Odyssey Candidate as Compared to Approved and Late-stage Investigational IL-33 and TSLP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74930</wp:posOffset>
            </wp:positionV>
            <wp:extent cx="3361690" cy="1036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1690" cy="103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Arial" w:cs="Arial" w:eastAsia="Arial" w:hAnsi="Arial"/>
          <w:sz w:val="14"/>
          <w:szCs w:val="14"/>
          <w:i w:val="1"/>
          <w:iCs w:val="1"/>
          <w:color w:val="auto"/>
        </w:rPr>
        <w:t>In vitro potency assessed in PBMCs for indicated cytokine in response to IL-33 stimulus.</w:t>
      </w:r>
    </w:p>
    <w:p>
      <w:pPr>
        <w:spacing w:after="0" w:line="84"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4" w:name="page165"/>
    <w:bookmarkEnd w:id="16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576580</wp:posOffset>
            </wp:positionV>
            <wp:extent cx="3171190" cy="1179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71190" cy="117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80"/>
        <w:spacing w:after="0"/>
        <w:rPr>
          <w:sz w:val="20"/>
          <w:szCs w:val="20"/>
          <w:color w:val="auto"/>
        </w:rPr>
      </w:pPr>
      <w:r>
        <w:rPr>
          <w:rFonts w:ascii="Arial" w:cs="Arial" w:eastAsia="Arial" w:hAnsi="Arial"/>
          <w:sz w:val="14"/>
          <w:szCs w:val="14"/>
          <w:i w:val="1"/>
          <w:iCs w:val="1"/>
          <w:color w:val="auto"/>
        </w:rPr>
        <w:t>In vitro potency assessed in PBMCs for indicated cytokine in response to TSLP stimulus.</w:t>
      </w:r>
    </w:p>
    <w:p>
      <w:pPr>
        <w:spacing w:after="0" w:line="170" w:lineRule="exact"/>
        <w:rPr>
          <w:sz w:val="20"/>
          <w:szCs w:val="20"/>
          <w:color w:val="auto"/>
        </w:rPr>
      </w:pPr>
    </w:p>
    <w:p>
      <w:pPr>
        <w:ind w:left="640" w:right="659" w:firstLine="438"/>
        <w:spacing w:after="0" w:line="282" w:lineRule="auto"/>
        <w:rPr>
          <w:sz w:val="20"/>
          <w:szCs w:val="20"/>
          <w:color w:val="auto"/>
        </w:rPr>
      </w:pPr>
      <w:r>
        <w:rPr>
          <w:rFonts w:ascii="Arial" w:cs="Arial" w:eastAsia="Arial" w:hAnsi="Arial"/>
          <w:sz w:val="14"/>
          <w:szCs w:val="14"/>
          <w:color w:val="auto"/>
        </w:rPr>
        <w:t>Following nomination of a development candidate, we may commence nonclinical development work to progress to a potential clinical candidate.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IRAK4</w:t>
      </w:r>
    </w:p>
    <w:p>
      <w:pPr>
        <w:spacing w:after="0" w:line="170"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We are developing an oral small molecule designed to inhibit the scaffolding function of interleukin-1 receptor– associated kinase 4, or IRAK4, a central signaling node within the myddosome complex. The myddosome is a multiprotein signaling complex present in multiple cell types and tissues that transduces signals from IL-1 family receptors, including IL-1, IL-18, IL-33 and IL-36 receptors, and Toll-like receptors, or TLRs, to initiate downstream production of proinflammatory cytokines. Upon receptor activation, MYD88 recruits IRAK4, which functions as a scaffold for IRAK1 and IRAK2, and enables propagation of inflammatory signaling.</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Role of IRAK4 in Myddosome Assembly and Downstream Cytokine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118745</wp:posOffset>
            </wp:positionV>
            <wp:extent cx="3348355" cy="25984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4835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659" w:firstLine="516"/>
        <w:spacing w:after="0" w:line="250" w:lineRule="auto"/>
        <w:rPr>
          <w:sz w:val="20"/>
          <w:szCs w:val="20"/>
          <w:color w:val="auto"/>
        </w:rPr>
      </w:pPr>
      <w:r>
        <w:rPr>
          <w:rFonts w:ascii="Arial" w:cs="Arial" w:eastAsia="Arial" w:hAnsi="Arial"/>
          <w:sz w:val="14"/>
          <w:szCs w:val="14"/>
          <w:color w:val="auto"/>
        </w:rPr>
        <w:t>IRAK4 is a clinically supported target in inflammatory disease. Multiple approved therapies act either upstream or downstream of IRAK4-dependent signaling, including ILARIS®, KINERET® and ARCALYST®, which target IL-1 signaling; SPEVIGO®, which targets IL-36R; HUMIRA®, which targets TNF; and ACTEMRA®, which targets IL-6. While these approaches are validated in certain autoimmune and inflammatory indications, targeting a single upstream receptor or downstream cytokine may not fully address diseases driven by redundant or overlapping inflammatory signals. Human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5" w:name="page166"/>
    <w:bookmarkEnd w:id="16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679"/>
        <w:spacing w:after="0" w:line="261" w:lineRule="auto"/>
        <w:rPr>
          <w:sz w:val="20"/>
          <w:szCs w:val="20"/>
          <w:color w:val="auto"/>
        </w:rPr>
      </w:pPr>
      <w:r>
        <w:rPr>
          <w:rFonts w:ascii="Arial" w:cs="Arial" w:eastAsia="Arial" w:hAnsi="Arial"/>
          <w:sz w:val="14"/>
          <w:szCs w:val="14"/>
          <w:color w:val="auto"/>
        </w:rPr>
        <w:t>genetic studies further support the central role of IRAK4 within the myddosome. Individuals with loss-of-function mutations in IRAK4 or MYD88 exhibit impaired myddosome signaling, consistent with the requirement for IRAK4 scaffolding with IRAK1 and IRAK2 to enable downstream cytokine production.</w:t>
      </w:r>
    </w:p>
    <w:p>
      <w:pPr>
        <w:spacing w:after="0" w:line="130" w:lineRule="exact"/>
        <w:rPr>
          <w:sz w:val="20"/>
          <w:szCs w:val="20"/>
          <w:color w:val="auto"/>
        </w:rPr>
      </w:pPr>
    </w:p>
    <w:p>
      <w:pPr>
        <w:ind w:left="640" w:right="739" w:firstLine="516"/>
        <w:spacing w:after="0" w:line="261" w:lineRule="auto"/>
        <w:rPr>
          <w:sz w:val="20"/>
          <w:szCs w:val="20"/>
          <w:color w:val="auto"/>
        </w:rPr>
      </w:pPr>
      <w:r>
        <w:rPr>
          <w:rFonts w:ascii="Arial" w:cs="Arial" w:eastAsia="Arial" w:hAnsi="Arial"/>
          <w:sz w:val="14"/>
          <w:szCs w:val="14"/>
          <w:color w:val="auto"/>
        </w:rPr>
        <w:t>Because IRAK4 functions downstream of multiple IL-1 family receptors and TLRs that are present across diverse tissues and implicated in multiple types of disease, we believe inhibition of IRAK4 has potential to be therapeutically effective in a broad range of inflammatory and autoimmune diseases.</w:t>
      </w:r>
    </w:p>
    <w:p>
      <w:pPr>
        <w:spacing w:after="0" w:line="130" w:lineRule="exact"/>
        <w:rPr>
          <w:sz w:val="20"/>
          <w:szCs w:val="20"/>
          <w:color w:val="auto"/>
        </w:rPr>
      </w:pPr>
    </w:p>
    <w:p>
      <w:pPr>
        <w:jc w:val="center"/>
        <w:ind w:left="640" w:right="699"/>
        <w:spacing w:after="0" w:line="291" w:lineRule="auto"/>
        <w:rPr>
          <w:sz w:val="20"/>
          <w:szCs w:val="20"/>
          <w:color w:val="auto"/>
        </w:rPr>
      </w:pPr>
      <w:r>
        <w:rPr>
          <w:rFonts w:ascii="Arial" w:cs="Arial" w:eastAsia="Arial" w:hAnsi="Arial"/>
          <w:sz w:val="14"/>
          <w:szCs w:val="14"/>
          <w:b w:val="1"/>
          <w:bCs w:val="1"/>
          <w:color w:val="auto"/>
        </w:rPr>
        <w:t>IRAK4 Inhibition Is Potentially Relevant Across Multiple Indications as Shown by Third Party Development of Agents That Target Activators of IRAK4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74930</wp:posOffset>
            </wp:positionV>
            <wp:extent cx="4909820" cy="22098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09820"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right="659" w:firstLine="516"/>
        <w:spacing w:after="0" w:line="244" w:lineRule="auto"/>
        <w:rPr>
          <w:sz w:val="20"/>
          <w:szCs w:val="20"/>
          <w:color w:val="auto"/>
        </w:rPr>
      </w:pPr>
      <w:r>
        <w:rPr>
          <w:rFonts w:ascii="Arial" w:cs="Arial" w:eastAsia="Arial" w:hAnsi="Arial"/>
          <w:sz w:val="14"/>
          <w:szCs w:val="14"/>
          <w:color w:val="auto"/>
        </w:rPr>
        <w:t>Prior approaches by others to target IRAK4 have primarily focused on inhibition of its kinase activity or IRAK4 degradation, and several IRAK4 kinase inhibitors and IRAK4 degraders have advanced into clinical development. We believe these approaches will not be effective treatments for most inflammatory diseases because these cannot disrupt IRAK4 signaling in non-myeloid cell types, such as fibroblasts and synoviocytes, which are important mediators of immune disease. For example, although inhibition of IRAK4 kinase activity by kinase inhibitors is sufficient to prevent downstream signaling in myeloid cells, IRAK4 kinase signaling is not required for signaling in non-myeloid cells, including fibroblasts or synoviocytes, and therefore kinase inhibitors will be ineffective at blocking signal in these cell types. IRAK4 scaffolding function is necessary for signaling in both myeloid and non-myeloid cell types, which we believe is evidence that an IRAK4 scaffolding inhibitor will be effective across diseases mediated by IRAK4. This understanding about the role of IRAK4 scaffolding has led others to develop IRAK4 degraders that aim to deplete IRAK4 protein to prevent scaffolding, but to our knowledge, no degrader has shown the ability to prevent IRAK4 scaffolding with IRAK1 or IRAK2 in the myddosome and as a result incomplete cytokine inhibition is observed in non-myeloid cells.</w:t>
      </w:r>
    </w:p>
    <w:p>
      <w:pPr>
        <w:spacing w:after="0" w:line="141" w:lineRule="exact"/>
        <w:rPr>
          <w:sz w:val="20"/>
          <w:szCs w:val="20"/>
          <w:color w:val="auto"/>
        </w:rPr>
      </w:pPr>
    </w:p>
    <w:p>
      <w:pPr>
        <w:ind w:left="640" w:right="759" w:firstLine="516"/>
        <w:spacing w:after="0" w:line="261" w:lineRule="auto"/>
        <w:rPr>
          <w:sz w:val="20"/>
          <w:szCs w:val="20"/>
          <w:color w:val="auto"/>
        </w:rPr>
      </w:pPr>
      <w:r>
        <w:rPr>
          <w:rFonts w:ascii="Arial" w:cs="Arial" w:eastAsia="Arial" w:hAnsi="Arial"/>
          <w:sz w:val="14"/>
          <w:szCs w:val="14"/>
          <w:color w:val="auto"/>
        </w:rPr>
        <w:t>Therefore, our program was designed to inhibit the scaffolding function of IRAK4 by blocking its ability to interact with IRAK1 and IRAK2, thereby preventing assembly of a functional myddosome signaling complex and suppressing downstream inflammatory signaling across all disease relevant cell types.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Partnered Programs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IRF5</w:t>
      </w:r>
    </w:p>
    <w:p>
      <w:pPr>
        <w:spacing w:after="0" w:line="170" w:lineRule="exact"/>
        <w:rPr>
          <w:sz w:val="20"/>
          <w:szCs w:val="20"/>
          <w:color w:val="auto"/>
        </w:rPr>
      </w:pPr>
    </w:p>
    <w:p>
      <w:pPr>
        <w:ind w:left="640" w:right="759" w:firstLine="516"/>
        <w:spacing w:after="0" w:line="250" w:lineRule="auto"/>
        <w:rPr>
          <w:sz w:val="20"/>
          <w:szCs w:val="20"/>
          <w:color w:val="auto"/>
        </w:rPr>
      </w:pPr>
      <w:r>
        <w:rPr>
          <w:rFonts w:ascii="Arial" w:cs="Arial" w:eastAsia="Arial" w:hAnsi="Arial"/>
          <w:sz w:val="14"/>
          <w:szCs w:val="14"/>
          <w:color w:val="auto"/>
        </w:rPr>
        <w:t>In collaboration with Terray, we are developing a small molecule designed to inhibit IRF5, a genetically validated but undrugged, transcription factor that regulates multiple proinflammatory signaling pathways. IRF5 plays an important role in the production of proinflammatory cytokines and chemokines, type I IFN, and auto-antibody responses. Genetic variants of IRF5 are associated with increased susceptibility to autoimmune and inflammatory diseases including SLE, Sjögren’s, RA, IBD, and systemic sclerosis.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6" w:name="page167"/>
    <w:bookmarkEnd w:id="16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39" w:firstLine="516"/>
        <w:spacing w:after="0" w:line="248" w:lineRule="auto"/>
        <w:rPr>
          <w:sz w:val="20"/>
          <w:szCs w:val="20"/>
          <w:color w:val="auto"/>
        </w:rPr>
      </w:pPr>
      <w:r>
        <w:rPr>
          <w:rFonts w:ascii="Arial" w:cs="Arial" w:eastAsia="Arial" w:hAnsi="Arial"/>
          <w:sz w:val="14"/>
          <w:szCs w:val="14"/>
          <w:color w:val="auto"/>
        </w:rPr>
        <w:t>IRF5 functions as a transcriptional regulator that is activated downstream of toll-like receptors, including TLR7, TLR8, and TLR9, and also integrates signals from additional receptors, including TLR2, TLR4, Dectin-1, and RIG-I receptors. As a result, IRF5 responds to a group of innate immune activating triggers, including nucleic acids, that drive type I IFN production and proinflammatory cytokine signaling. Approved drugs that modulate downstream components of IRF5-regulated pathways, including TNF, IL-6, IL-12, IL-23, Type 1 IFNs, and B cell-directed therapies, provide clinical support for direct targeting of IRF5 to treat disease.</w:t>
      </w:r>
    </w:p>
    <w:p>
      <w:pPr>
        <w:spacing w:after="0" w:line="54" w:lineRule="exact"/>
        <w:rPr>
          <w:sz w:val="20"/>
          <w:szCs w:val="20"/>
          <w:color w:val="auto"/>
        </w:rPr>
      </w:pPr>
    </w:p>
    <w:p>
      <w:pPr>
        <w:ind w:left="640" w:right="799" w:firstLine="516"/>
        <w:spacing w:after="0" w:line="250" w:lineRule="auto"/>
        <w:rPr>
          <w:sz w:val="20"/>
          <w:szCs w:val="20"/>
          <w:color w:val="auto"/>
        </w:rPr>
      </w:pPr>
      <w:r>
        <w:rPr>
          <w:rFonts w:ascii="Arial" w:cs="Arial" w:eastAsia="Arial" w:hAnsi="Arial"/>
          <w:sz w:val="14"/>
          <w:szCs w:val="14"/>
          <w:color w:val="auto"/>
        </w:rPr>
        <w:t xml:space="preserve">We believe IRF5 inhibition is a complementary therapeutic strategy to SLC15A4 inhibition. Given that there are currently no approved drugs for either target, along with there being multiple potential indications for which inhibitors of this pathway could be developed, we have decided to develop drugs that target several nodes in the pathway to provide opportunities to maximize the efficacy and safety of drugging this pathway and to potentially identify differentiated, indication-specific profiles. </w:t>
      </w:r>
      <w:r>
        <w:rPr>
          <w:rFonts w:ascii="Arial" w:cs="Arial" w:eastAsia="Arial" w:hAnsi="Arial"/>
          <w:sz w:val="14"/>
          <w:szCs w:val="14"/>
          <w:color w:val="181717"/>
        </w:rPr>
        <w:t>The program is currently in lead optimization</w:t>
      </w:r>
      <w:r>
        <w:rPr>
          <w:rFonts w:ascii="Arial" w:cs="Arial" w:eastAsia="Arial" w:hAnsi="Arial"/>
          <w:sz w:val="14"/>
          <w:szCs w:val="14"/>
          <w:color w:val="auto"/>
        </w:rPr>
        <w:t>.</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License and Collaboration Agreement</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Terray Collaboration and License Agreement</w:t>
      </w:r>
    </w:p>
    <w:p>
      <w:pPr>
        <w:spacing w:after="0" w:line="84"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On September 11, 2024, we entered into a Collaboration and License Agreement, or the Terray Agreement, with Terray to discover, develop and commercialize or out-license products directed to IRF5. We and Terray have agreed to an initial research plan and to use commercially reasonable efforts to perform the activities in any research, development or commercialization plans under the Terray Agreement and, commencing on the date that a development candidate is identified, to enter into an out-licensing transaction that satisfies certain requirements. During the term of the Terray Agreement and subject to certain exceptions, we and Terray have agreed not to, directly or indirectly, conduct any other development, manufacturing or commercialization activities related to any compound or product directed to IRF5. As between us and Terray and unless we opt-out as described below, we are solely responsible for preparing and submitting regulatory submissions with regulatory authorities and for obtaining and maintaining regulatory approvals for certain compounds and products that are the subject of the Terray Agreement.</w:t>
      </w:r>
    </w:p>
    <w:p>
      <w:pPr>
        <w:spacing w:after="0" w:line="60" w:lineRule="exact"/>
        <w:rPr>
          <w:sz w:val="20"/>
          <w:szCs w:val="20"/>
          <w:color w:val="auto"/>
        </w:rPr>
      </w:pPr>
    </w:p>
    <w:p>
      <w:pPr>
        <w:ind w:left="640" w:right="939" w:firstLine="443"/>
        <w:spacing w:after="0" w:line="254" w:lineRule="auto"/>
        <w:rPr>
          <w:sz w:val="20"/>
          <w:szCs w:val="20"/>
          <w:color w:val="auto"/>
        </w:rPr>
      </w:pPr>
      <w:r>
        <w:rPr>
          <w:rFonts w:ascii="Arial" w:cs="Arial" w:eastAsia="Arial" w:hAnsi="Arial"/>
          <w:sz w:val="14"/>
          <w:szCs w:val="14"/>
          <w:color w:val="auto"/>
        </w:rPr>
        <w:t>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w:t>
      </w:r>
    </w:p>
    <w:p>
      <w:pPr>
        <w:spacing w:after="0" w:line="49"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Both we and Terray have the right to opt-out of the obligation to perform, and share costs for, activities under the applicable plan and the right and obligation to share collaboration losses and collaboration profits, prior to the execution of an out-licensing transaction and subject to certain other conditions. We or Terray may also be deemed to opt-out if further development or commercialization activities are not approved under the agreement or the parties do not designate a development candidate and, in either case, only one party wishes to conduct additional research, or if either party decides not to bear certain increased costs.</w:t>
      </w:r>
    </w:p>
    <w:p>
      <w:pPr>
        <w:spacing w:after="0" w:line="54"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In the event one party opts-out of the Terray Agreement, that party will not be required to conduct any further activities under the applicable plan and will no longer be required to pay its portion of collaboration losses or have a right to receive its portion of collaboration profits to the extent incurred or received after the effective date of the opt-out. Instead, the opt-out party will be entitled to receive a percentage of the net proceeds from an out-licensing agreement, if any, ranging from the mid-single digits to the mid-thirties during the term of the Terray Agreement. The percentage of proceeds that the opt-out party would be entitled to will depend on the achievement of certain regulatory and development milestones at the time such party opts out and the time when the out-license transaction is signed. If no out-license transaction has been entered into with respect to the applicable licensed product developed pursuant to the Terray Agreement in the relevant country, the opt-out party will instead be eligible to receive mid-single digit to low double digit royalties on aggregate net sales that arise from the other party’s commercialization of such licensed product, if any, on a country-by-country basis during the applicable royalty term (subject to certain deductions).</w:t>
      </w:r>
    </w:p>
    <w:p>
      <w:pPr>
        <w:spacing w:after="0" w:line="57" w:lineRule="exact"/>
        <w:rPr>
          <w:sz w:val="20"/>
          <w:szCs w:val="20"/>
          <w:color w:val="auto"/>
        </w:rPr>
      </w:pPr>
    </w:p>
    <w:p>
      <w:pPr>
        <w:ind w:left="640" w:right="659" w:firstLine="443"/>
        <w:spacing w:after="0" w:line="261" w:lineRule="auto"/>
        <w:rPr>
          <w:sz w:val="20"/>
          <w:szCs w:val="20"/>
          <w:color w:val="auto"/>
        </w:rPr>
      </w:pPr>
      <w:r>
        <w:rPr>
          <w:rFonts w:ascii="Arial" w:cs="Arial" w:eastAsia="Arial" w:hAnsi="Arial"/>
          <w:sz w:val="14"/>
          <w:szCs w:val="14"/>
          <w:color w:val="auto"/>
        </w:rPr>
        <w:t>The Terray Agreement will expire on the date all payment obligations with respect to licensed products under the Terray Agreement expire. We and Terray may also terminate the Terray Agreement in certain circumstances, including for convenience, upon providing the other party prior written notice.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Competition</w:t>
      </w:r>
    </w:p>
    <w:p>
      <w:pPr>
        <w:spacing w:after="0" w:line="86"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The biopharmaceutical industry is characterized by rapidly advancing technologies, intense competition and a strong emphasis on proprietary and novel products and product candidates. Our product candidates, if approved, are designed to potentially address a range of inflammatory and autoimmune diseases. Ultimately, the diseases our product candidates target, and for which we may receive marketing authorization, will determine our competition. Our product candidates, if approved, will have to compete with existing therapies and new therapies that may become available in the future. We face potential competition from many different sources, including larger and better-funded pharmaceutical,</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7" w:name="page168"/>
    <w:bookmarkEnd w:id="16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44" w:lineRule="auto"/>
        <w:rPr>
          <w:sz w:val="20"/>
          <w:szCs w:val="20"/>
          <w:color w:val="auto"/>
        </w:rPr>
      </w:pPr>
      <w:r>
        <w:rPr>
          <w:rFonts w:ascii="Arial" w:cs="Arial" w:eastAsia="Arial" w:hAnsi="Arial"/>
          <w:sz w:val="14"/>
          <w:szCs w:val="14"/>
          <w:color w:val="auto"/>
        </w:rPr>
        <w:t>biopharmaceutical, biotechnological and therapeutics companies. In many cases, companies with competing programs will have access to greater financial, technical, manufacturing, supply, marketing and sales resources, and may be more advanced in those programs. Moreover, we may also compete with universities and other research institutions that may be or will become active in research on our target indications. Smaller or early-stage companies may also prove to be significant competitors, particularly through collaborative arrangements with large and established companies. Key competitive factors affecting the success of our product candidates, if approved, are likely to be efficacy, safety, convenience, presentation, price, level of generic competition and the availability of reimbursement from government and third-party payors.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60"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We are developing OD-001, an oral small-molecule scaffolding inhibitor of RIPK2 for the treatment of IBD. We are aware of a number of competing product candidates targeting RIPK2 in clinical development stage, including Accro Bioscience’s AC-101 and Oncodesign Precision Medicine’s ODS-101/OPM-101. We are also aware of other companies that have publicly disclosed work on RIPK2, including: GlaxoSmithKline (GSK 2983559 and GSK583), Takeda, Novartis, Bristol Myers Squibb/Celgene, Atomwise, Architect Therapeutics, Vibliome Therapeutics, and Zenitar Biomedical/Chengdu Zeling Biomedical.</w:t>
      </w:r>
    </w:p>
    <w:p>
      <w:pPr>
        <w:spacing w:after="0" w:line="54" w:lineRule="exact"/>
        <w:rPr>
          <w:sz w:val="20"/>
          <w:szCs w:val="20"/>
          <w:color w:val="auto"/>
        </w:rPr>
      </w:pPr>
    </w:p>
    <w:p>
      <w:pPr>
        <w:ind w:left="640" w:right="659" w:firstLine="443"/>
        <w:spacing w:after="0" w:line="211" w:lineRule="auto"/>
        <w:rPr>
          <w:sz w:val="20"/>
          <w:szCs w:val="20"/>
          <w:color w:val="auto"/>
        </w:rPr>
      </w:pPr>
      <w:r>
        <w:rPr>
          <w:rFonts w:ascii="Arial" w:cs="Arial" w:eastAsia="Arial" w:hAnsi="Arial"/>
          <w:sz w:val="14"/>
          <w:szCs w:val="14"/>
          <w:color w:val="auto"/>
        </w:rPr>
        <w:t>If approved, we would expect to compete against a number of approved therapies for the treatment of IBD. These approved therapies include TNF inhibitors, including AbbVie’s HUMIRA</w:t>
      </w:r>
      <w:r>
        <w:rPr>
          <w:rFonts w:ascii="Arial" w:cs="Arial" w:eastAsia="Arial" w:hAnsi="Arial"/>
          <w:sz w:val="19"/>
          <w:szCs w:val="19"/>
          <w:color w:val="auto"/>
          <w:vertAlign w:val="superscript"/>
        </w:rPr>
        <w:t>®</w:t>
      </w:r>
      <w:r>
        <w:rPr>
          <w:rFonts w:ascii="Arial" w:cs="Arial" w:eastAsia="Arial" w:hAnsi="Arial"/>
          <w:sz w:val="14"/>
          <w:szCs w:val="14"/>
          <w:color w:val="auto"/>
        </w:rPr>
        <w:t>, J&amp;J’s REMICADE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SIMPONI</w:t>
      </w:r>
      <w:r>
        <w:rPr>
          <w:rFonts w:ascii="Arial" w:cs="Arial" w:eastAsia="Arial" w:hAnsi="Arial"/>
          <w:sz w:val="19"/>
          <w:szCs w:val="19"/>
          <w:color w:val="auto"/>
          <w:vertAlign w:val="superscript"/>
        </w:rPr>
        <w:t>®</w:t>
      </w:r>
      <w:r>
        <w:rPr>
          <w:rFonts w:ascii="Arial" w:cs="Arial" w:eastAsia="Arial" w:hAnsi="Arial"/>
          <w:sz w:val="14"/>
          <w:szCs w:val="14"/>
          <w:color w:val="auto"/>
        </w:rPr>
        <w:t>; IL-23 inhibitors including J&amp;J’s STELARA</w:t>
      </w:r>
      <w:r>
        <w:rPr>
          <w:rFonts w:ascii="Arial" w:cs="Arial" w:eastAsia="Arial" w:hAnsi="Arial"/>
          <w:sz w:val="19"/>
          <w:szCs w:val="19"/>
          <w:color w:val="auto"/>
          <w:vertAlign w:val="superscript"/>
        </w:rPr>
        <w:t>®</w:t>
      </w:r>
      <w:r>
        <w:rPr>
          <w:rFonts w:ascii="Arial" w:cs="Arial" w:eastAsia="Arial" w:hAnsi="Arial"/>
          <w:sz w:val="14"/>
          <w:szCs w:val="14"/>
          <w:color w:val="auto"/>
        </w:rPr>
        <w:t>, Eli Lilly’s OMVOH</w:t>
      </w:r>
      <w:r>
        <w:rPr>
          <w:rFonts w:ascii="Arial" w:cs="Arial" w:eastAsia="Arial" w:hAnsi="Arial"/>
          <w:sz w:val="19"/>
          <w:szCs w:val="19"/>
          <w:color w:val="auto"/>
          <w:vertAlign w:val="superscript"/>
        </w:rPr>
        <w:t>®</w:t>
      </w:r>
      <w:r>
        <w:rPr>
          <w:rFonts w:ascii="Arial" w:cs="Arial" w:eastAsia="Arial" w:hAnsi="Arial"/>
          <w:sz w:val="14"/>
          <w:szCs w:val="14"/>
          <w:color w:val="auto"/>
        </w:rPr>
        <w:t>, and AbbVie’s SKYRIZI</w:t>
      </w:r>
      <w:r>
        <w:rPr>
          <w:rFonts w:ascii="Arial" w:cs="Arial" w:eastAsia="Arial" w:hAnsi="Arial"/>
          <w:sz w:val="19"/>
          <w:szCs w:val="19"/>
          <w:color w:val="auto"/>
          <w:vertAlign w:val="superscript"/>
        </w:rPr>
        <w:t>®</w:t>
      </w:r>
      <w:r>
        <w:rPr>
          <w:rFonts w:ascii="Arial" w:cs="Arial" w:eastAsia="Arial" w:hAnsi="Arial"/>
          <w:sz w:val="14"/>
          <w:szCs w:val="14"/>
          <w:color w:val="auto"/>
        </w:rPr>
        <w:t>; integrin blockers including Takeda’s ENTYVIO</w:t>
      </w:r>
      <w:r>
        <w:rPr>
          <w:rFonts w:ascii="Arial" w:cs="Arial" w:eastAsia="Arial" w:hAnsi="Arial"/>
          <w:sz w:val="19"/>
          <w:szCs w:val="19"/>
          <w:color w:val="auto"/>
          <w:vertAlign w:val="superscript"/>
        </w:rPr>
        <w:t>®</w:t>
      </w:r>
      <w:r>
        <w:rPr>
          <w:rFonts w:ascii="Arial" w:cs="Arial" w:eastAsia="Arial" w:hAnsi="Arial"/>
          <w:sz w:val="14"/>
          <w:szCs w:val="14"/>
          <w:color w:val="auto"/>
        </w:rPr>
        <w:t>; JAK inhibitors including Pfizer’s XELJANZ</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AbbVie’s RINVOQ</w:t>
      </w:r>
      <w:r>
        <w:rPr>
          <w:rFonts w:ascii="Arial" w:cs="Arial" w:eastAsia="Arial" w:hAnsi="Arial"/>
          <w:sz w:val="19"/>
          <w:szCs w:val="19"/>
          <w:color w:val="auto"/>
          <w:vertAlign w:val="superscript"/>
        </w:rPr>
        <w:t>®</w:t>
      </w:r>
      <w:r>
        <w:rPr>
          <w:rFonts w:ascii="Arial" w:cs="Arial" w:eastAsia="Arial" w:hAnsi="Arial"/>
          <w:sz w:val="14"/>
          <w:szCs w:val="14"/>
          <w:color w:val="auto"/>
        </w:rPr>
        <w:t>; and S1P1 receptor-modulating therapies, including Bristol Myers Squibb’s ZEPOSIA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Pfizer’s VELSIPITY</w:t>
      </w:r>
      <w:r>
        <w:rPr>
          <w:rFonts w:ascii="Arial" w:cs="Arial" w:eastAsia="Arial" w:hAnsi="Arial"/>
          <w:sz w:val="19"/>
          <w:szCs w:val="19"/>
          <w:color w:val="auto"/>
          <w:vertAlign w:val="superscript"/>
        </w:rPr>
        <w:t>®</w:t>
      </w:r>
      <w:r>
        <w:rPr>
          <w:rFonts w:ascii="Arial" w:cs="Arial" w:eastAsia="Arial" w:hAnsi="Arial"/>
          <w:sz w:val="14"/>
          <w:szCs w:val="14"/>
          <w:color w:val="auto"/>
        </w:rPr>
        <w:t>. We are also aware of product candidates in development for the treatment of patients with IBD, including Merck’s MK-7240, Roche’s RG6631, and Sanofi/Teva’s TEV-48574 TL1A antibodies; additional IL-23/IL-23Rs including J&amp;J’s TREMFYA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JNJ-2113; bispecific antibodies, including CLD-423; miR-124 including Abivax SA’s obefazimod; and oral anti-integrin agents including Eli Lilly’s MORF-057 and Gilead’s GS-1427.</w:t>
      </w:r>
    </w:p>
    <w:p>
      <w:pPr>
        <w:spacing w:after="0" w:line="63"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We are also developing an inhibitor targeting SLC15A4. We are aware of a number of companies seeking to develop drugs targeting SLC15A4, including BridGene Bioscience (BGP-31646), Nimbus Therapeutics (NTX-348), OMass Therapeutics, and Solgate GmbH. As of the time of this prospectus, we are not aware of any SLC15A4 targeted therapies in clinical trials.</w:t>
      </w:r>
    </w:p>
    <w:p>
      <w:pPr>
        <w:spacing w:after="0" w:line="49" w:lineRule="exact"/>
        <w:rPr>
          <w:sz w:val="20"/>
          <w:szCs w:val="20"/>
          <w:color w:val="auto"/>
        </w:rPr>
      </w:pPr>
    </w:p>
    <w:p>
      <w:pPr>
        <w:ind w:left="640" w:right="679" w:firstLine="443"/>
        <w:spacing w:after="0" w:line="254" w:lineRule="auto"/>
        <w:rPr>
          <w:sz w:val="20"/>
          <w:szCs w:val="20"/>
          <w:color w:val="auto"/>
        </w:rPr>
      </w:pPr>
      <w:r>
        <w:rPr>
          <w:rFonts w:ascii="Arial" w:cs="Arial" w:eastAsia="Arial" w:hAnsi="Arial"/>
          <w:sz w:val="14"/>
          <w:szCs w:val="14"/>
          <w:color w:val="auto"/>
        </w:rPr>
        <w:t>We are also developing a V-body designed to agonize TNFR2 selectively on Treg. We are aware of one TNFR2 agonist program that has entered clinical trials and is in development by TRexBio (TRB-061) for autoimmune and inflammatory disease. We are also aware of Nektar’s NKTR-0165 which is in preclinical development for autoimmune and inflammatory disease. Other TNFR2 agonist programs are in development for cancer indications.</w:t>
      </w:r>
    </w:p>
    <w:p>
      <w:pPr>
        <w:spacing w:after="0" w:line="135" w:lineRule="exact"/>
        <w:rPr>
          <w:sz w:val="20"/>
          <w:szCs w:val="20"/>
          <w:color w:val="auto"/>
        </w:rPr>
      </w:pPr>
    </w:p>
    <w:p>
      <w:pPr>
        <w:ind w:left="640" w:right="1039" w:firstLine="443"/>
        <w:spacing w:after="0" w:line="254" w:lineRule="auto"/>
        <w:rPr>
          <w:sz w:val="20"/>
          <w:szCs w:val="20"/>
          <w:color w:val="auto"/>
        </w:rPr>
      </w:pPr>
      <w:r>
        <w:rPr>
          <w:rFonts w:ascii="Arial" w:cs="Arial" w:eastAsia="Arial" w:hAnsi="Arial"/>
          <w:sz w:val="14"/>
          <w:szCs w:val="14"/>
          <w:color w:val="auto"/>
        </w:rPr>
        <w:t>We are also developing a bispecific protein antagonist of TSLP and IL-33. We are aware of one clinical stage product candidate targeting TSLP and IL-33 in development by Newsoara (HY6725). We are also aware of other companies that have publicly disclosed work on TSLP/IL-33, including: Sound Biologics (PSB219), Roche / Qyuns Therapeutics (QX031N), and Helixon Therapeutics / Earendil Labs (HXN-1013).</w:t>
      </w:r>
    </w:p>
    <w:p>
      <w:pPr>
        <w:spacing w:after="0" w:line="124"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We are also developing an IRAK4 scaffolding inhibitor. There are a number of companies seeking to develop drugs targeting IRAK4. We are aware of four IRAK4 degraders in clinical trials for the potential treatment of patients with inflammatory diseases, including Leadingtac’s LT-002 (or LT-002-158), Gilead and Nurix’s GS-6791/NX-0479, BeiGene’s BGB-43035, Biogen / C4 Therapeutic’s BIIB142. We are also aware of additional IRAK4 degrader programs in preclinical development, including: Photys / Hangzhou Polymed’s PHT-776/HPB-143, Sanofi / Kymera’s KT-485/SAR447971, and ApicHope’s APH02174. We are also aware of two IRAK4 kinase inhibitors in clinical trials, including Chia Tai Tianqing’s TQH3821 and AstraZeneca’s AZD6793.</w:t>
      </w:r>
    </w:p>
    <w:p>
      <w:pPr>
        <w:spacing w:after="0" w:line="140" w:lineRule="exact"/>
        <w:rPr>
          <w:sz w:val="20"/>
          <w:szCs w:val="20"/>
          <w:color w:val="auto"/>
        </w:rPr>
      </w:pPr>
    </w:p>
    <w:p>
      <w:pPr>
        <w:ind w:left="640" w:right="779" w:firstLine="443"/>
        <w:spacing w:after="0" w:line="261" w:lineRule="auto"/>
        <w:rPr>
          <w:sz w:val="20"/>
          <w:szCs w:val="20"/>
          <w:color w:val="auto"/>
        </w:rPr>
      </w:pPr>
      <w:r>
        <w:rPr>
          <w:rFonts w:ascii="Arial" w:cs="Arial" w:eastAsia="Arial" w:hAnsi="Arial"/>
          <w:sz w:val="14"/>
          <w:szCs w:val="14"/>
          <w:color w:val="auto"/>
        </w:rPr>
        <w:t>In addition, we are developing an IRF5 inhibitor in collaboration with Terray. We are aware of one clinical stage IRF5 degrader candidate in development by Kymera (KT-579). We are also aware of other companies that have publicly disclosed work on IRF5, including: Alumis and HotSpot Therapeutics.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8" w:name="page169"/>
    <w:bookmarkEnd w:id="16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Intellectual Property</w:t>
      </w:r>
    </w:p>
    <w:p>
      <w:pPr>
        <w:spacing w:after="0" w:line="86"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We continuously work to protect our, and develop new, proprietary technology, inventions, trade secrets and know-how that are important for our business, including by seeking, maintaining, and defending patent rights. In addition to seeking patent protection, we rely upon trade secrets and confidential know-how and continuing technological innovation related to our product candidates and drug development efforts. We seek to protect our proprietary information, in part, using confidentiality agreements with any collaborators, advisors, employees and consultants and invention assignment agreements with our employees. We also have agreements requiring assignment of inventions with selected consultants, advisors and collaborators. Our success will depend in part on our ability to obtain and maintain patent protection for our product candidates and technologies, to preserve our trade secrets, to operate without infringing the proprietary rights of third parties and to acquire licenses related to enabling technologies or products. We are also party to collaboration agreements and licenses pursuant to which we develop new intellectual property and collaborate with third parties to provide them access to our intellectual property and gain access to their intellectual property. See the section of the prospectus titled “—</w:t>
      </w:r>
      <w:r>
        <w:rPr>
          <w:rFonts w:ascii="Arial" w:cs="Arial" w:eastAsia="Arial" w:hAnsi="Arial"/>
          <w:sz w:val="14"/>
          <w:szCs w:val="14"/>
          <w:i w:val="1"/>
          <w:iCs w:val="1"/>
          <w:color w:val="auto"/>
        </w:rPr>
        <w:t>License and Collaboration Agreement</w:t>
      </w:r>
      <w:r>
        <w:rPr>
          <w:rFonts w:ascii="Arial" w:cs="Arial" w:eastAsia="Arial" w:hAnsi="Arial"/>
          <w:sz w:val="14"/>
          <w:szCs w:val="14"/>
          <w:color w:val="auto"/>
        </w:rPr>
        <w:t>” for more information.</w:t>
      </w:r>
    </w:p>
    <w:p>
      <w:pPr>
        <w:spacing w:after="0" w:line="55"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 candidates receive FDA approval, we expect to apply for patent term extensions on patents covering those products. We plan to seek any available patent term extension to any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57"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We may also rely on trade secrets relating to our discovery programs and product candidates, and seek to protect and maintain the confidentiality of proprietary information to protect aspects of our business that are not amenable to, or that we do not consider appropriate for, patent protection.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RIPK2</w:t>
      </w:r>
    </w:p>
    <w:p>
      <w:pPr>
        <w:spacing w:after="0" w:line="84" w:lineRule="exact"/>
        <w:rPr>
          <w:sz w:val="20"/>
          <w:szCs w:val="20"/>
          <w:color w:val="auto"/>
        </w:rPr>
      </w:pPr>
    </w:p>
    <w:p>
      <w:pPr>
        <w:ind w:left="640" w:right="1019" w:firstLine="438"/>
        <w:spacing w:after="0" w:line="261" w:lineRule="auto"/>
        <w:rPr>
          <w:sz w:val="20"/>
          <w:szCs w:val="20"/>
          <w:color w:val="auto"/>
        </w:rPr>
      </w:pPr>
      <w:r>
        <w:rPr>
          <w:rFonts w:ascii="Arial" w:cs="Arial" w:eastAsia="Arial" w:hAnsi="Arial"/>
          <w:sz w:val="14"/>
          <w:szCs w:val="14"/>
          <w:color w:val="auto"/>
        </w:rPr>
        <w:t>Our RIPK2 patent portfolio consists of patent applications directed toward the composition of matter of certain inhibitors of RIPK2 having distinct chemical scaffolds, including a scaffold that covers our most advanced product candidate, OD-001, and uses of these inhibitors to treat certain diseases.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OD-001</w:t>
      </w:r>
    </w:p>
    <w:p>
      <w:pPr>
        <w:spacing w:after="0" w:line="84" w:lineRule="exact"/>
        <w:rPr>
          <w:sz w:val="20"/>
          <w:szCs w:val="20"/>
          <w:color w:val="auto"/>
        </w:rPr>
      </w:pPr>
    </w:p>
    <w:p>
      <w:pPr>
        <w:ind w:left="640" w:right="739" w:firstLine="438"/>
        <w:spacing w:after="0" w:line="261" w:lineRule="auto"/>
        <w:rPr>
          <w:sz w:val="20"/>
          <w:szCs w:val="20"/>
          <w:color w:val="auto"/>
        </w:rPr>
      </w:pPr>
      <w:r>
        <w:rPr>
          <w:rFonts w:ascii="Arial" w:cs="Arial" w:eastAsia="Arial" w:hAnsi="Arial"/>
          <w:sz w:val="14"/>
          <w:szCs w:val="14"/>
          <w:color w:val="auto"/>
        </w:rPr>
        <w:t>The patent portfolio for OD-001 is based on our wholly owned patent families and includes patent applications directed to the composition of matter of OD-001, uses of OD-001 for treating certain diseases, certain crystalline forms of OD-001 and their uses for treating certain diseases, and combination therapies of OD-001.</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9" w:name="page170"/>
    <w:bookmarkEnd w:id="16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99" w:firstLine="438"/>
        <w:spacing w:after="0" w:line="247" w:lineRule="auto"/>
        <w:rPr>
          <w:sz w:val="20"/>
          <w:szCs w:val="20"/>
          <w:color w:val="auto"/>
        </w:rPr>
      </w:pPr>
      <w:r>
        <w:rPr>
          <w:rFonts w:ascii="Arial" w:cs="Arial" w:eastAsia="Arial" w:hAnsi="Arial"/>
          <w:sz w:val="14"/>
          <w:szCs w:val="14"/>
          <w:color w:val="auto"/>
        </w:rPr>
        <w:t>As of March 31, 2026, applications directed toward the composition of matter of OD-001 and its uses to treat certain diseases have been filed in the United States, Argentina, Taiwan, Kuwait, United Arab Emirates, China, Japan, South Africa, Canada, Mexico, Brazil, Israel, India, Singapore, New Zealand, Australia, Eurasia, Vietnam, Korea, Colombia, Europe and Saudi Arabia. One of the two applications filed in the United States is a Track One Prioritized Examination Application and has received a Notice of Allowance. Any patents that may issue in the U.S., Argentina, Taiwan or other foreign jurisdictions would expire in 2043, absent any terminal disclaimers, patent term adjustments or patent term extensions.</w:t>
      </w:r>
    </w:p>
    <w:p>
      <w:pPr>
        <w:spacing w:after="0" w:line="54" w:lineRule="exact"/>
        <w:rPr>
          <w:sz w:val="20"/>
          <w:szCs w:val="20"/>
          <w:color w:val="auto"/>
        </w:rPr>
      </w:pPr>
    </w:p>
    <w:p>
      <w:pPr>
        <w:ind w:left="640" w:right="659" w:firstLine="438"/>
        <w:spacing w:after="0" w:line="246" w:lineRule="auto"/>
        <w:rPr>
          <w:sz w:val="20"/>
          <w:szCs w:val="20"/>
          <w:color w:val="auto"/>
        </w:rPr>
      </w:pPr>
      <w:r>
        <w:rPr>
          <w:rFonts w:ascii="Arial" w:cs="Arial" w:eastAsia="Arial" w:hAnsi="Arial"/>
          <w:sz w:val="14"/>
          <w:szCs w:val="14"/>
          <w:color w:val="auto"/>
        </w:rPr>
        <w:t>As of March 31, 2026, we also have filed applications in Argentina, Taiwan and under the Patent Cooperation Treaty, or PCT, directed toward certain crystalline forms of OD-001 and their uses for treating certain diseases. The PCT is an international patent law treaty that provides a unified procedure for filing a single initial patent application to seek patent protection for an invention simultaneously in each of the PCT-member states. Although a PCT application is not itself examined and cannot issue as a patent, it allows the applicant to seek protection in any of the member states by filing national applications. Any patent that may issue in the U.S., Argentina, Taiwan or other foreign jurisdictions based on this PCT application would expire in 2045, absent any terminal disclaimers, patent term adjustments or patent term extensions.</w:t>
      </w:r>
    </w:p>
    <w:p>
      <w:pPr>
        <w:spacing w:after="0" w:line="219" w:lineRule="exact"/>
        <w:rPr>
          <w:sz w:val="20"/>
          <w:szCs w:val="20"/>
          <w:color w:val="auto"/>
        </w:rPr>
      </w:pPr>
    </w:p>
    <w:p>
      <w:pPr>
        <w:ind w:left="640" w:right="739" w:firstLine="443"/>
        <w:spacing w:after="0" w:line="247" w:lineRule="auto"/>
        <w:rPr>
          <w:sz w:val="20"/>
          <w:szCs w:val="20"/>
          <w:color w:val="auto"/>
        </w:rPr>
      </w:pPr>
      <w:r>
        <w:rPr>
          <w:rFonts w:ascii="Arial" w:cs="Arial" w:eastAsia="Arial" w:hAnsi="Arial"/>
          <w:sz w:val="14"/>
          <w:szCs w:val="14"/>
          <w:color w:val="auto"/>
        </w:rPr>
        <w:t>As of March 31, 2026, a U.S. provisional application directed toward certain combination therapies of OD-001 and their uses for treating certain diseases has been filed. If non-provisional patent applications (e.g., a regular U.S. application, a PCT application or foreign national applications) claiming the benefit of the pending U.S. provisional patent application are filed in 2026 before the expiration of the U.S. provisional patent application, any patent that may issue in the U.S. from those applications would expire no earlier than 2046, absent any terminal disclaimers, patent term adjustments or patent term extensions. Any patents that may issue in foreign jurisdictions would likewise expire in 2046, absent any terminal disclaimers, patent term adjustments or patent term extensions.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Other RIPK2 Inhibitors</w:t>
      </w:r>
    </w:p>
    <w:p>
      <w:pPr>
        <w:spacing w:after="0" w:line="84" w:lineRule="exact"/>
        <w:rPr>
          <w:sz w:val="20"/>
          <w:szCs w:val="20"/>
          <w:color w:val="auto"/>
        </w:rPr>
      </w:pPr>
    </w:p>
    <w:p>
      <w:pPr>
        <w:ind w:left="640" w:right="739" w:firstLine="443"/>
        <w:spacing w:after="0" w:line="261" w:lineRule="auto"/>
        <w:rPr>
          <w:sz w:val="20"/>
          <w:szCs w:val="20"/>
          <w:color w:val="auto"/>
        </w:rPr>
      </w:pPr>
      <w:r>
        <w:rPr>
          <w:rFonts w:ascii="Arial" w:cs="Arial" w:eastAsia="Arial" w:hAnsi="Arial"/>
          <w:sz w:val="14"/>
          <w:szCs w:val="14"/>
          <w:color w:val="auto"/>
        </w:rPr>
        <w:t>The patent portfolios for our other RIPK2 inhibitors under development are wholly owned by us and include patent applications directed to the composition of matter of inhibitors having defined chemical scaffolds that differ from the scaffold that covers OD-001, and uses of such inhibitors for treating certain diseases.</w:t>
      </w:r>
    </w:p>
    <w:p>
      <w:pPr>
        <w:spacing w:after="0" w:line="44"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As of March 31, 2026, two PCT applications directed toward the composition of matter and uses to treat certain diseases of a chemical scaffold different from the scaffold that covers OD-001 have been filed. Any patents that may issue in the U.S. or any foreign jurisdiction based on the PCT applications would expire in 2045 to 2046, absent any terminal disclaimers, patent term adjustments or patent term extensions.</w:t>
      </w:r>
    </w:p>
    <w:p>
      <w:pPr>
        <w:spacing w:after="0" w:line="49" w:lineRule="exact"/>
        <w:rPr>
          <w:sz w:val="20"/>
          <w:szCs w:val="20"/>
          <w:color w:val="auto"/>
        </w:rPr>
      </w:pPr>
    </w:p>
    <w:p>
      <w:pPr>
        <w:ind w:left="640" w:right="739" w:firstLine="443"/>
        <w:spacing w:after="0" w:line="247" w:lineRule="auto"/>
        <w:rPr>
          <w:sz w:val="20"/>
          <w:szCs w:val="20"/>
          <w:color w:val="auto"/>
        </w:rPr>
      </w:pPr>
      <w:r>
        <w:rPr>
          <w:rFonts w:ascii="Arial" w:cs="Arial" w:eastAsia="Arial" w:hAnsi="Arial"/>
          <w:sz w:val="14"/>
          <w:szCs w:val="14"/>
          <w:color w:val="auto"/>
        </w:rPr>
        <w:t>As of March 31, 2026, we have filed two U.S. provisional applications directed toward the composition of matter and uses to treat certain diseases of another chemical scaffold different from the scaffold that covers OD-001. If non-provisional patent applications claiming the benefit of the pending U.S. provisional patent applications are filed in 2026 before expiration of the U.S. provisional patent application, any U.S. patents that may issue from such applications would expire no earlier than 2046, not including any terminal disclaimers, patent term adjustments or patent term extensions. Any patents that may issue in foreign jurisdictions would likewise expire in 2046, absent any terminal disclaimers, patent term adjustments or patent term extensions.</w:t>
      </w:r>
    </w:p>
    <w:p>
      <w:pPr>
        <w:spacing w:after="0" w:line="54"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As of March 31, 2026, we also filed two U.S. provisional applications directed toward crystalline forms of another RIPK2 inhibitor and their uses for treating certain diseases. If non-provisional patent applications (e.g., a regular U.S. application, a PCT application or foreign national applications) claiming the benefit of the pending U.S. provisional patent applications are filed in 2026 before the expiration of the U.S. provisional patent applications, any patent that may issue in the U.S. from those applications would expire no earlier than 2046, absent any terminal disclaimers, patent term adjustments or patent term extensions. Any patents that may issue in foreign jurisdictions would likewise expire in 2046, absent any terminal disclaimers, patent term adjustments or patent term extensions.</w:t>
      </w:r>
    </w:p>
    <w:p>
      <w:pPr>
        <w:spacing w:after="0" w:line="54" w:lineRule="exact"/>
        <w:rPr>
          <w:sz w:val="20"/>
          <w:szCs w:val="20"/>
          <w:color w:val="auto"/>
        </w:rPr>
      </w:pPr>
    </w:p>
    <w:p>
      <w:pPr>
        <w:ind w:left="640" w:right="719" w:firstLine="443"/>
        <w:spacing w:after="0" w:line="250" w:lineRule="auto"/>
        <w:rPr>
          <w:sz w:val="20"/>
          <w:szCs w:val="20"/>
          <w:color w:val="auto"/>
        </w:rPr>
      </w:pPr>
      <w:r>
        <w:rPr>
          <w:rFonts w:ascii="Arial" w:cs="Arial" w:eastAsia="Arial" w:hAnsi="Arial"/>
          <w:sz w:val="14"/>
          <w:szCs w:val="14"/>
          <w:color w:val="auto"/>
        </w:rPr>
        <w:t>As of March 31, 2026, we also filed a PCT application directed at a biomarker that may facilitate and expedite the identification and stratification of IBD patient populations that are responsive to treatment with a RIPK2 inhibitor. Any patent that may issue in the U.S. from this application would expire no earlier than 2044, absent any terminal disclaimers, patent term adjustments or patent term extensions. Any patents that may issue in foreign jurisdictions would likewise expire in 2044, absent any terminal disclaimers, patent term adjustments or patent term extensions.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SLC15A4</w:t>
      </w:r>
    </w:p>
    <w:p>
      <w:pPr>
        <w:spacing w:after="0" w:line="84" w:lineRule="exact"/>
        <w:rPr>
          <w:sz w:val="20"/>
          <w:szCs w:val="20"/>
          <w:color w:val="auto"/>
        </w:rPr>
      </w:pPr>
    </w:p>
    <w:p>
      <w:pPr>
        <w:jc w:val="both"/>
        <w:ind w:left="640" w:right="739" w:firstLine="438"/>
        <w:spacing w:after="0" w:line="261" w:lineRule="auto"/>
        <w:rPr>
          <w:sz w:val="20"/>
          <w:szCs w:val="20"/>
          <w:color w:val="auto"/>
        </w:rPr>
      </w:pPr>
      <w:r>
        <w:rPr>
          <w:rFonts w:ascii="Arial" w:cs="Arial" w:eastAsia="Arial" w:hAnsi="Arial"/>
          <w:sz w:val="14"/>
          <w:szCs w:val="14"/>
          <w:color w:val="auto"/>
        </w:rPr>
        <w:t>The SLC15A4 patent portfolio covers SLC15A4 small-molecule inhibitors that we are continually evaluating for the purpose of determining which molecule may be advanced into clinical trials. As of March 31, 2026, this portfolio is based on twelve U.S. provisional applications directed to these molecules and methods of treating disease by administering</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0" w:name="page171"/>
    <w:bookmarkEnd w:id="17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59"/>
        <w:spacing w:after="0" w:line="261" w:lineRule="auto"/>
        <w:rPr>
          <w:sz w:val="20"/>
          <w:szCs w:val="20"/>
          <w:color w:val="auto"/>
        </w:rPr>
      </w:pPr>
      <w:r>
        <w:rPr>
          <w:rFonts w:ascii="Arial" w:cs="Arial" w:eastAsia="Arial" w:hAnsi="Arial"/>
          <w:sz w:val="14"/>
          <w:szCs w:val="14"/>
          <w:color w:val="auto"/>
        </w:rPr>
        <w:t>these molecules, including one provisional application covering our current lead molecule for this program. Any patents granting from these pending applications would expire in 2046 to 2047, absent any terminal disclaimers, patent term adjustments or patent term extensions.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TNFR2</w:t>
      </w:r>
    </w:p>
    <w:p>
      <w:pPr>
        <w:spacing w:after="0" w:line="84" w:lineRule="exact"/>
        <w:rPr>
          <w:sz w:val="20"/>
          <w:szCs w:val="20"/>
          <w:color w:val="auto"/>
        </w:rPr>
      </w:pPr>
    </w:p>
    <w:p>
      <w:pPr>
        <w:ind w:left="640" w:right="779" w:firstLine="516"/>
        <w:spacing w:after="0" w:line="254" w:lineRule="auto"/>
        <w:rPr>
          <w:sz w:val="20"/>
          <w:szCs w:val="20"/>
          <w:color w:val="auto"/>
        </w:rPr>
      </w:pPr>
      <w:r>
        <w:rPr>
          <w:rFonts w:ascii="Arial" w:cs="Arial" w:eastAsia="Arial" w:hAnsi="Arial"/>
          <w:sz w:val="14"/>
          <w:szCs w:val="14"/>
          <w:color w:val="auto"/>
        </w:rPr>
        <w:t>The TNFR2 patent portfolio covers protein agonist molecules. This portfolio is based on our wholly owned group of patent families, including patent applications directed to TNFR2 VHH, CD25 VHH, TNFR2-CD25 bispecific VHH, methods of making these molecules and methods of treating disease by administering these molecules, including with respect to our lead molecule for this program, OD-003.</w:t>
      </w:r>
    </w:p>
    <w:p>
      <w:pPr>
        <w:spacing w:after="0" w:line="135" w:lineRule="exact"/>
        <w:rPr>
          <w:sz w:val="20"/>
          <w:szCs w:val="20"/>
          <w:color w:val="auto"/>
        </w:rPr>
      </w:pPr>
    </w:p>
    <w:p>
      <w:pPr>
        <w:ind w:left="640" w:right="719" w:firstLine="516"/>
        <w:spacing w:after="0" w:line="254" w:lineRule="auto"/>
        <w:rPr>
          <w:sz w:val="20"/>
          <w:szCs w:val="20"/>
          <w:color w:val="auto"/>
        </w:rPr>
      </w:pPr>
      <w:r>
        <w:rPr>
          <w:rFonts w:ascii="Arial" w:cs="Arial" w:eastAsia="Arial" w:hAnsi="Arial"/>
          <w:sz w:val="14"/>
          <w:szCs w:val="14"/>
          <w:color w:val="auto"/>
        </w:rPr>
        <w:t>As of March 31, 2026, our TNFR2 patent portfolio comprised three pending PCT patent applications, two U.S. non-provisional patent applications and 36 foreign counterpart patent applications. Any patents that may issue from these pending applications would expire from 2044 to 2045, absent any terminal disclaimers, patent term adjustments or patent term extensions.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Other Intellectual Property</w:t>
      </w:r>
    </w:p>
    <w:p>
      <w:pPr>
        <w:spacing w:after="0" w:line="84" w:lineRule="exact"/>
        <w:rPr>
          <w:sz w:val="20"/>
          <w:szCs w:val="20"/>
          <w:color w:val="auto"/>
        </w:rPr>
      </w:pPr>
    </w:p>
    <w:p>
      <w:pPr>
        <w:ind w:left="640" w:right="659" w:firstLine="516"/>
        <w:spacing w:after="0" w:line="282" w:lineRule="auto"/>
        <w:rPr>
          <w:sz w:val="20"/>
          <w:szCs w:val="20"/>
          <w:color w:val="auto"/>
        </w:rPr>
      </w:pPr>
      <w:r>
        <w:rPr>
          <w:rFonts w:ascii="Arial" w:cs="Arial" w:eastAsia="Arial" w:hAnsi="Arial"/>
          <w:sz w:val="14"/>
          <w:szCs w:val="14"/>
          <w:color w:val="auto"/>
        </w:rPr>
        <w:t>In addition to the intellectual property described above, we also have a number of pending patent applications and other intellectual property rights with respect to our TSLP-IL-33, IRAK4 and IRF5 programs.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Trademarks</w:t>
      </w:r>
    </w:p>
    <w:p>
      <w:pPr>
        <w:spacing w:after="0" w:line="86" w:lineRule="exact"/>
        <w:rPr>
          <w:sz w:val="20"/>
          <w:szCs w:val="20"/>
          <w:color w:val="auto"/>
        </w:rPr>
      </w:pPr>
    </w:p>
    <w:p>
      <w:pPr>
        <w:ind w:left="640" w:right="679" w:firstLine="438"/>
        <w:spacing w:after="0" w:line="254" w:lineRule="auto"/>
        <w:rPr>
          <w:sz w:val="20"/>
          <w:szCs w:val="20"/>
          <w:color w:val="auto"/>
        </w:rPr>
      </w:pPr>
      <w:r>
        <w:rPr>
          <w:rFonts w:ascii="Arial" w:cs="Arial" w:eastAsia="Arial" w:hAnsi="Arial"/>
          <w:sz w:val="14"/>
          <w:szCs w:val="14"/>
          <w:color w:val="auto"/>
        </w:rPr>
        <w:t>Further, we have and will continue to pursue trademark protection for our company name and brand, as well as slogans and taglines and logos. As of March 31, 2026, we owned six trademark registrations in the European Union, six trademark registrations in the United Kingdom and four pending trademark applications in the United States for marks that comprise or incorporate the term “Odyssey Therapeutics” and/or our current wreath logo.</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Sales and Marketing</w:t>
      </w:r>
    </w:p>
    <w:p>
      <w:pPr>
        <w:spacing w:after="0" w:line="86" w:lineRule="exact"/>
        <w:rPr>
          <w:sz w:val="20"/>
          <w:szCs w:val="20"/>
          <w:color w:val="auto"/>
        </w:rPr>
      </w:pPr>
    </w:p>
    <w:p>
      <w:pPr>
        <w:ind w:left="640" w:right="859" w:firstLine="438"/>
        <w:spacing w:after="0" w:line="248" w:lineRule="auto"/>
        <w:rPr>
          <w:sz w:val="20"/>
          <w:szCs w:val="20"/>
          <w:color w:val="auto"/>
        </w:rPr>
      </w:pPr>
      <w:r>
        <w:rPr>
          <w:rFonts w:ascii="Arial" w:cs="Arial" w:eastAsia="Arial" w:hAnsi="Arial"/>
          <w:sz w:val="14"/>
          <w:szCs w:val="14"/>
          <w:color w:val="auto"/>
        </w:rPr>
        <w:t>Given our stage of development, we have not yet established a full commercial organization or distribution capabilities. We intend to build a commercial infrastructure to support sales of any approved product candidates and intend to continue evaluating opportunities to work with partners that enhance our capabilities with respect to the development and commercialization of product candidates, if approved. In addition, we intend to commercialize our product candidates, if approved, in key global markets, either alone or with partners in order to maximize the worldwide commercial potential of our programs.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Manufacturing</w:t>
      </w:r>
    </w:p>
    <w:p>
      <w:pPr>
        <w:spacing w:after="0" w:line="86" w:lineRule="exact"/>
        <w:rPr>
          <w:sz w:val="20"/>
          <w:szCs w:val="20"/>
          <w:color w:val="auto"/>
        </w:rPr>
      </w:pPr>
    </w:p>
    <w:p>
      <w:pPr>
        <w:ind w:left="640" w:right="659" w:firstLine="438"/>
        <w:spacing w:after="0" w:line="244" w:lineRule="auto"/>
        <w:rPr>
          <w:sz w:val="20"/>
          <w:szCs w:val="20"/>
          <w:color w:val="auto"/>
        </w:rPr>
      </w:pPr>
      <w:r>
        <w:rPr>
          <w:rFonts w:ascii="Arial" w:cs="Arial" w:eastAsia="Arial" w:hAnsi="Arial"/>
          <w:sz w:val="14"/>
          <w:szCs w:val="14"/>
          <w:color w:val="auto"/>
        </w:rPr>
        <w:t>We do not own or operate, and currently have no plans to establish, any manufacturing facilities. We currently rely, and expect to continue to rely, on third parties for the manufacture of our product candidates for clinical testing, as well as for the manufacture of any products that we may commercialize, if approved. For all our product candidates, we intend to identify and qualify redundant manufacturers, including entering into long-term agreements, to provide the active pharmaceutical ingredients and drug product and prior to submission of a new drug application, or NDA, or biologics license application, or BLA, to the FDA and/or a marketing authorization application, or MAA, to the European Medicines Agency, or EMA, and/or other comparable foreign regulatory authorities. We believe our selection of two well understood modalities, small molecules and protein therapeutics, will allow us to manufacture our product candidates in reliable and reproducible processes from readily available starting materials. We expect to continue to develop product candidates that can be produced cost-effectively at contract manufacturing facilities.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Government Regulation</w:t>
      </w:r>
    </w:p>
    <w:p>
      <w:pPr>
        <w:spacing w:after="0" w:line="86" w:lineRule="exact"/>
        <w:rPr>
          <w:sz w:val="20"/>
          <w:szCs w:val="20"/>
          <w:color w:val="auto"/>
        </w:rPr>
      </w:pPr>
    </w:p>
    <w:p>
      <w:pPr>
        <w:ind w:left="640" w:right="759" w:firstLine="438"/>
        <w:spacing w:after="0" w:line="246" w:lineRule="auto"/>
        <w:rPr>
          <w:sz w:val="20"/>
          <w:szCs w:val="20"/>
          <w:color w:val="auto"/>
        </w:rPr>
      </w:pPr>
      <w:r>
        <w:rPr>
          <w:rFonts w:ascii="Arial" w:cs="Arial" w:eastAsia="Arial" w:hAnsi="Arial"/>
          <w:sz w:val="14"/>
          <w:szCs w:val="14"/>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sale, distribution, post-approval monitoring and reporting, marketing, and export and import of drug products and biologics. We, along with any third-party contractors on whom we rely, will be required to navigate the various preclinical, clinical, and commercial approval requirements of the governing regulatory agencies of the countries in which we wish to conduct studies, clinical trials, or seek approval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1" w:name="page172"/>
    <w:bookmarkEnd w:id="17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U.S. Regulation</w:t>
      </w:r>
    </w:p>
    <w:p>
      <w:pPr>
        <w:spacing w:after="0" w:line="86" w:lineRule="exact"/>
        <w:rPr>
          <w:sz w:val="20"/>
          <w:szCs w:val="20"/>
          <w:color w:val="auto"/>
        </w:rPr>
      </w:pPr>
    </w:p>
    <w:p>
      <w:pPr>
        <w:ind w:left="640" w:right="779" w:firstLine="438"/>
        <w:spacing w:after="0" w:line="250" w:lineRule="auto"/>
        <w:rPr>
          <w:sz w:val="20"/>
          <w:szCs w:val="20"/>
          <w:color w:val="auto"/>
        </w:rPr>
      </w:pPr>
      <w:r>
        <w:rPr>
          <w:rFonts w:ascii="Arial" w:cs="Arial" w:eastAsia="Arial" w:hAnsi="Arial"/>
          <w:sz w:val="14"/>
          <w:szCs w:val="14"/>
          <w:color w:val="auto"/>
        </w:rPr>
        <w:t>In the United States, the FDA regulates drugs under the Federal Food, Drug, and Cosmetic Act, as amended, or the FDCA, and its implementing regulations. Drugs are also subject to other federal, state and local statutes and regulations. Biologics are subject to these same requirements in the United States, except that they are licensed under the Public Health Service Act. A new drug or biologic must be approved by the FDA through the NDA or BLA process, respectively, before they may be legally marketed in the United States, and this process generally involves the following:</w:t>
      </w:r>
    </w:p>
    <w:p>
      <w:pPr>
        <w:spacing w:after="0" w:line="53" w:lineRule="exact"/>
        <w:rPr>
          <w:sz w:val="20"/>
          <w:szCs w:val="20"/>
          <w:color w:val="auto"/>
        </w:rPr>
      </w:pPr>
    </w:p>
    <w:p>
      <w:pPr>
        <w:ind w:left="1260" w:right="999" w:hanging="179"/>
        <w:spacing w:after="0" w:line="281" w:lineRule="auto"/>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completion of preclinical laboratory tests, animal studies, and formulation studies in accordance with FDA’s GLPs and other applicable regulations;</w:t>
      </w:r>
    </w:p>
    <w:p>
      <w:pPr>
        <w:spacing w:after="0" w:line="30" w:lineRule="exact"/>
        <w:rPr>
          <w:rFonts w:ascii="Times New Roman" w:cs="Times New Roman" w:eastAsia="Times New Roman" w:hAnsi="Times New Roman"/>
          <w:sz w:val="14"/>
          <w:szCs w:val="14"/>
          <w:color w:val="auto"/>
        </w:rPr>
      </w:pPr>
    </w:p>
    <w:p>
      <w:pPr>
        <w:ind w:left="1260" w:right="739" w:hanging="179"/>
        <w:spacing w:after="0" w:line="281" w:lineRule="auto"/>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submission to the FDA of an IND which must become effective before human clinical trials may begin and must be updated annually and when certain changes are made;</w:t>
      </w:r>
    </w:p>
    <w:p>
      <w:pPr>
        <w:spacing w:after="0" w:line="30" w:lineRule="exact"/>
        <w:rPr>
          <w:rFonts w:ascii="Times New Roman" w:cs="Times New Roman" w:eastAsia="Times New Roman" w:hAnsi="Times New Roman"/>
          <w:sz w:val="14"/>
          <w:szCs w:val="14"/>
          <w:color w:val="auto"/>
        </w:rPr>
      </w:pPr>
    </w:p>
    <w:p>
      <w:pPr>
        <w:ind w:left="1260" w:right="1079" w:hanging="179"/>
        <w:spacing w:after="0" w:line="281" w:lineRule="auto"/>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approval by an independent investigational review board, or IRB, or independent ethics committee, or EC, representing each clinical site before each trial may be initiated;</w:t>
      </w:r>
    </w:p>
    <w:p>
      <w:pPr>
        <w:spacing w:after="0" w:line="30" w:lineRule="exact"/>
        <w:rPr>
          <w:rFonts w:ascii="Times New Roman" w:cs="Times New Roman" w:eastAsia="Times New Roman" w:hAnsi="Times New Roman"/>
          <w:sz w:val="14"/>
          <w:szCs w:val="14"/>
          <w:color w:val="auto"/>
        </w:rPr>
      </w:pPr>
    </w:p>
    <w:p>
      <w:pPr>
        <w:ind w:left="1260" w:right="779" w:hanging="179"/>
        <w:spacing w:after="0" w:line="260" w:lineRule="auto"/>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performance of adequate and well-controlled human clinical trials in accordance with good clinical practices, or GCPs, to establish the safety and efficacy of the proposed drug or the safety, purity and potency of the proposed biologic for its intended use;</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preparation of and submission to the FDA of an NDA or BLA after the completion of pivotal trials;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a determination by the FDA within 60 days of its receipt of an NDA or BLA to file the application for review;</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satisfactory completion of an FDA advisory committee review, if applicable;</w:t>
      </w:r>
    </w:p>
    <w:p>
      <w:pPr>
        <w:spacing w:after="0" w:line="96" w:lineRule="exact"/>
        <w:rPr>
          <w:rFonts w:ascii="Times New Roman" w:cs="Times New Roman" w:eastAsia="Times New Roman" w:hAnsi="Times New Roman"/>
          <w:sz w:val="14"/>
          <w:szCs w:val="14"/>
          <w:color w:val="auto"/>
        </w:rPr>
      </w:pPr>
    </w:p>
    <w:p>
      <w:pPr>
        <w:ind w:left="1260" w:right="739" w:hanging="179"/>
        <w:spacing w:after="0" w:line="260" w:lineRule="auto"/>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satisfactory completion of an FDA inspection of the manufacturing facility or facilities at which the drug or biologic is produced to assess compliance with current good manufacturing practices, or cGMPs, to assure that the facilities, methods and controls are adequate to preserve the product’s identity, strength, quality and purity;</w:t>
      </w:r>
    </w:p>
    <w:p>
      <w:pPr>
        <w:spacing w:after="0" w:line="45"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potential FDA audit of the preclinical study, nonclinical study and/or clinical trial sites that generated data in support of the NDA or BLA; and</w:t>
      </w:r>
    </w:p>
    <w:p>
      <w:pPr>
        <w:spacing w:after="0" w:line="30" w:lineRule="exact"/>
        <w:rPr>
          <w:rFonts w:ascii="Times New Roman" w:cs="Times New Roman" w:eastAsia="Times New Roman" w:hAnsi="Times New Roman"/>
          <w:sz w:val="14"/>
          <w:szCs w:val="14"/>
          <w:color w:val="auto"/>
        </w:rPr>
      </w:pPr>
    </w:p>
    <w:p>
      <w:pPr>
        <w:ind w:left="1260" w:right="1159" w:hanging="179"/>
        <w:spacing w:after="0" w:line="281" w:lineRule="auto"/>
        <w:tabs>
          <w:tab w:leader="none" w:pos="126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FDA review and approval of the NDA or BLA to permit commercial marketing of the product for particular indications for use in the United States.</w:t>
      </w:r>
    </w:p>
    <w:p>
      <w:pPr>
        <w:spacing w:after="0" w:line="30"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Prior to beginning the first clinical trial with a product candidate in the United States, a sponsor must submit an IND to the FDA requesting their authorization to administer an investigational product to humans. The central focus of an IND submission is on the general investigational plan and the protocol(s) for clinical trials. The IND also includes results of animal and in vitro studies assessing the toxicology, pharmacokinetics, pharmacology and pharmacodynamics, characteristics of the product; chemistry, manufacturing and controls information; and any available human data or literature to support the use of the investigational product. An IND must become effective before human clinical trials may begin. Some long-term preclinical testing may continue after the IND is submitted.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or may not allow the trial to commence on the terms originally specified in the IND.</w:t>
      </w:r>
    </w:p>
    <w:p>
      <w:pPr>
        <w:spacing w:after="0" w:line="55" w:lineRule="exact"/>
        <w:rPr>
          <w:sz w:val="20"/>
          <w:szCs w:val="20"/>
          <w:color w:val="auto"/>
        </w:rPr>
      </w:pPr>
    </w:p>
    <w:p>
      <w:pPr>
        <w:ind w:left="640" w:right="719" w:firstLine="443"/>
        <w:spacing w:after="0" w:line="243" w:lineRule="auto"/>
        <w:rPr>
          <w:sz w:val="20"/>
          <w:szCs w:val="20"/>
          <w:color w:val="auto"/>
        </w:rPr>
      </w:pPr>
      <w:r>
        <w:rPr>
          <w:rFonts w:ascii="Arial" w:cs="Arial" w:eastAsia="Arial" w:hAnsi="Arial"/>
          <w:sz w:val="14"/>
          <w:szCs w:val="14"/>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dosing procedures, subject selection and exclusion criteria,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retains oversight for the trial to protect study subject welfare until completed.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or other ethical grounds to stop the trial. The FDA or the sponsor may suspend a clinical trial at any time on various grounds, including a finding that the research subjects or patients are being exposed to an unacceptable health risk or that the trial is unlikely to meet its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2" w:name="page173"/>
    <w:bookmarkEnd w:id="17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spacing w:after="0" w:line="254" w:lineRule="auto"/>
        <w:rPr>
          <w:sz w:val="20"/>
          <w:szCs w:val="20"/>
          <w:color w:val="auto"/>
        </w:rPr>
      </w:pPr>
      <w:r>
        <w:rPr>
          <w:rFonts w:ascii="Arial" w:cs="Arial" w:eastAsia="Arial" w:hAnsi="Arial"/>
          <w:sz w:val="14"/>
          <w:szCs w:val="14"/>
          <w:color w:val="auto"/>
        </w:rPr>
        <w:t>stated objectives. Similarly, an IRB may suspend or terminate approval of a clinical trial at its institution if the clinical trial is not being conducted in accordance with the IRB’s requirements or if the drug or biologic has been associated with unexpected serious harm to patients. There are also requirements governing the reporting of ongoing clinical trials and clinical trial results to public registries.</w:t>
      </w:r>
    </w:p>
    <w:p>
      <w:pPr>
        <w:spacing w:after="0" w:line="49"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A sponsor who wishes to conduct a clinical trial outside of the United States may, but need not, obtain FDA authorization to conduct the clinical trial under an IND. If a foreign clinical trial is not conducted under an IND, the sponsor must ensure that the clinical trial complies with regulatory requirements if the data is to be used in support of NDA or BLA approval. The FDA may accept a well-designed and well-conducted foreign clinical trial not conducted under an IND if the trial was conducted in accordance with GCPs, and the FDA is able to validate the data through an onsite inspection, if deemed necessary.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86" w:lineRule="exact"/>
        <w:rPr>
          <w:sz w:val="20"/>
          <w:szCs w:val="20"/>
          <w:color w:val="auto"/>
        </w:rPr>
      </w:pPr>
    </w:p>
    <w:p>
      <w:pPr>
        <w:ind w:left="1260" w:right="719" w:hanging="179"/>
        <w:spacing w:after="0" w:line="247" w:lineRule="auto"/>
        <w:tabs>
          <w:tab w:leader="none" w:pos="1260" w:val="left"/>
        </w:tabs>
        <w:numPr>
          <w:ilvl w:val="0"/>
          <w:numId w:val="68"/>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Phase 1</w:t>
      </w:r>
      <w:r>
        <w:rPr>
          <w:rFonts w:ascii="Arial" w:cs="Arial" w:eastAsia="Arial" w:hAnsi="Arial"/>
          <w:sz w:val="14"/>
          <w:szCs w:val="14"/>
          <w:color w:val="auto"/>
        </w:rPr>
        <w:t>: The product candidate is initially introduced into healthy human subjects or patients with the target</w:t>
      </w:r>
      <w:r>
        <w:rPr>
          <w:rFonts w:ascii="Arial" w:cs="Arial" w:eastAsia="Arial" w:hAnsi="Arial"/>
          <w:sz w:val="14"/>
          <w:szCs w:val="14"/>
          <w:i w:val="1"/>
          <w:iCs w:val="1"/>
          <w:color w:val="auto"/>
        </w:rPr>
        <w:t xml:space="preserve"> </w:t>
      </w:r>
      <w:r>
        <w:rPr>
          <w:rFonts w:ascii="Arial" w:cs="Arial" w:eastAsia="Arial" w:hAnsi="Arial"/>
          <w:sz w:val="14"/>
          <w:szCs w:val="14"/>
          <w:color w:val="auto"/>
        </w:rPr>
        <w:t>disease or condition. These trials are designed to test the safety, dosage tolerance, absorption, metabolism, excretion and distribution of the investigational product in humans, the side effects associated with increasing doses, and, if possible, to gain early evidence on effectiveness. In the case of some drugs or biologics for severe or life-threatening diseases, especially when the drug or biologic may be inherently too toxic to ethically administer to healthy participants, the initial human testing is often conducted in patients with the target disease or condition.</w:t>
      </w:r>
    </w:p>
    <w:p>
      <w:pPr>
        <w:spacing w:after="0" w:line="53" w:lineRule="exact"/>
        <w:rPr>
          <w:rFonts w:ascii="Times New Roman" w:cs="Times New Roman" w:eastAsia="Times New Roman" w:hAnsi="Times New Roman"/>
          <w:sz w:val="14"/>
          <w:szCs w:val="14"/>
          <w:color w:val="auto"/>
        </w:rPr>
      </w:pPr>
    </w:p>
    <w:p>
      <w:pPr>
        <w:ind w:left="1260" w:right="659" w:hanging="179"/>
        <w:spacing w:after="0" w:line="254" w:lineRule="auto"/>
        <w:tabs>
          <w:tab w:leader="none" w:pos="1260" w:val="left"/>
        </w:tabs>
        <w:numPr>
          <w:ilvl w:val="0"/>
          <w:numId w:val="68"/>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Phase 2</w:t>
      </w:r>
      <w:r>
        <w:rPr>
          <w:rFonts w:ascii="Arial" w:cs="Arial" w:eastAsia="Arial" w:hAnsi="Arial"/>
          <w:sz w:val="14"/>
          <w:szCs w:val="14"/>
          <w:color w:val="auto"/>
        </w:rPr>
        <w:t>: The product candidate is administered to a limited patient population with a specified disease or</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48" w:lineRule="exact"/>
        <w:rPr>
          <w:rFonts w:ascii="Times New Roman" w:cs="Times New Roman" w:eastAsia="Times New Roman" w:hAnsi="Times New Roman"/>
          <w:sz w:val="14"/>
          <w:szCs w:val="14"/>
          <w:color w:val="auto"/>
        </w:rPr>
      </w:pPr>
    </w:p>
    <w:p>
      <w:pPr>
        <w:jc w:val="both"/>
        <w:ind w:left="1260" w:right="779" w:hanging="179"/>
        <w:spacing w:after="0" w:line="245" w:lineRule="auto"/>
        <w:tabs>
          <w:tab w:leader="none" w:pos="1260" w:val="left"/>
        </w:tabs>
        <w:numPr>
          <w:ilvl w:val="0"/>
          <w:numId w:val="68"/>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Phase 3</w:t>
      </w:r>
      <w:r>
        <w:rPr>
          <w:rFonts w:ascii="Arial" w:cs="Arial" w:eastAsia="Arial" w:hAnsi="Arial"/>
          <w:sz w:val="14"/>
          <w:szCs w:val="14"/>
          <w:color w:val="auto"/>
        </w:rPr>
        <w:t>: The product candidate is administered to an expanded patient population to further evaluate dosage,</w:t>
      </w:r>
      <w:r>
        <w:rPr>
          <w:rFonts w:ascii="Arial" w:cs="Arial" w:eastAsia="Arial" w:hAnsi="Arial"/>
          <w:sz w:val="14"/>
          <w:szCs w:val="14"/>
          <w:i w:val="1"/>
          <w:iCs w:val="1"/>
          <w:color w:val="auto"/>
        </w:rPr>
        <w:t xml:space="preserve"> </w:t>
      </w:r>
      <w:r>
        <w:rPr>
          <w:rFonts w:ascii="Arial" w:cs="Arial" w:eastAsia="Arial" w:hAnsi="Arial"/>
          <w:sz w:val="14"/>
          <w:szCs w:val="14"/>
          <w:color w:val="auto"/>
        </w:rPr>
        <w:t>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labeling.</w:t>
      </w:r>
    </w:p>
    <w:p>
      <w:pPr>
        <w:ind w:left="1260" w:right="899"/>
        <w:spacing w:after="0" w:line="261" w:lineRule="auto"/>
        <w:rPr>
          <w:rFonts w:ascii="Times New Roman" w:cs="Times New Roman" w:eastAsia="Times New Roman" w:hAnsi="Times New Roman"/>
          <w:sz w:val="14"/>
          <w:szCs w:val="14"/>
          <w:color w:val="auto"/>
        </w:rPr>
      </w:pPr>
      <w:r>
        <w:rPr>
          <w:rFonts w:ascii="Arial" w:cs="Arial" w:eastAsia="Arial" w:hAnsi="Arial"/>
          <w:sz w:val="14"/>
          <w:szCs w:val="14"/>
          <w:color w:val="auto"/>
        </w:rPr>
        <w:t>Generally, two adequate and well-controlled phase 3 clinical trials are required by the FDA for approval of an NDA or BLA.</w:t>
      </w:r>
    </w:p>
    <w:p>
      <w:pPr>
        <w:spacing w:after="0" w:line="44" w:lineRule="exact"/>
        <w:rPr>
          <w:sz w:val="20"/>
          <w:szCs w:val="20"/>
          <w:color w:val="auto"/>
        </w:rPr>
      </w:pPr>
    </w:p>
    <w:p>
      <w:pPr>
        <w:ind w:left="640" w:right="759" w:firstLine="443"/>
        <w:spacing w:after="0" w:line="254" w:lineRule="auto"/>
        <w:rPr>
          <w:sz w:val="20"/>
          <w:szCs w:val="20"/>
          <w:color w:val="auto"/>
        </w:rPr>
      </w:pPr>
      <w:r>
        <w:rPr>
          <w:rFonts w:ascii="Arial" w:cs="Arial" w:eastAsia="Arial" w:hAnsi="Arial"/>
          <w:sz w:val="14"/>
          <w:szCs w:val="14"/>
          <w:color w:val="auto"/>
        </w:rPr>
        <w:t>It is possible that phase 1, phase 2, and phase 3 testing may not be completed successfully within any specified period, if at all. The FDA or the sponsor may, at any time during the initial 30-day IND review period or while clinical trials are ongoing under the IND, impose a partial or complete clinical hold or suspend a clinical trial, for example, because there is an unacceptable health risk.</w:t>
      </w:r>
    </w:p>
    <w:p>
      <w:pPr>
        <w:spacing w:after="0" w:line="49"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In some cases, the FDA may require, or companies may voluntarily pursue, additional clinical trials after a product is approved to gain more information about the product for the approved use or uses. These so-called phase 4 trials may be conducted after initial marketing approval and may be used to gain additional experience from the treatment of patients in the intended therapeutic indication, for example, to generate additional safety data regarding use of the product in a clinical setting. In certain instances, the FDA may mandate the performance of phase 4 clinical trials as a condition of approval of an NDA or BLA.</w:t>
      </w:r>
    </w:p>
    <w:p>
      <w:pPr>
        <w:spacing w:after="0" w:line="54" w:lineRule="exact"/>
        <w:rPr>
          <w:sz w:val="20"/>
          <w:szCs w:val="20"/>
          <w:color w:val="auto"/>
        </w:rPr>
      </w:pPr>
    </w:p>
    <w:p>
      <w:pPr>
        <w:ind w:left="640" w:right="959" w:firstLine="443"/>
        <w:spacing w:after="0" w:line="247" w:lineRule="auto"/>
        <w:rPr>
          <w:sz w:val="20"/>
          <w:szCs w:val="20"/>
          <w:color w:val="auto"/>
        </w:rPr>
      </w:pPr>
      <w:r>
        <w:rPr>
          <w:rFonts w:ascii="Arial" w:cs="Arial" w:eastAsia="Arial" w:hAnsi="Arial"/>
          <w:sz w:val="14"/>
          <w:szCs w:val="14"/>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54" w:lineRule="exact"/>
        <w:rPr>
          <w:sz w:val="20"/>
          <w:szCs w:val="20"/>
          <w:color w:val="auto"/>
        </w:rPr>
      </w:pPr>
    </w:p>
    <w:p>
      <w:pPr>
        <w:ind w:left="640" w:right="759" w:firstLine="443"/>
        <w:spacing w:after="0" w:line="247" w:lineRule="auto"/>
        <w:rPr>
          <w:sz w:val="20"/>
          <w:szCs w:val="20"/>
          <w:color w:val="auto"/>
        </w:rPr>
      </w:pPr>
      <w:r>
        <w:rPr>
          <w:rFonts w:ascii="Arial" w:cs="Arial" w:eastAsia="Arial" w:hAnsi="Arial"/>
          <w:sz w:val="14"/>
          <w:szCs w:val="14"/>
          <w:color w:val="auto"/>
        </w:rPr>
        <w:t xml:space="preserve">While the IND is active and before approval, progress reports summarizing the results of the clinical trials and preclinical or nonclinical studies performed since the last progress report must be submitted at least annually to the FDA, and written IND safety reports must be submitted to the FDA and investigators for serious and unexpected suspected adverse events, or AEs, findings from other trials suggesting a significant risk to humans exposed to the same or similar drugs, findings from animal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19" w:lineRule="exact"/>
        <w:rPr>
          <w:sz w:val="20"/>
          <w:szCs w:val="20"/>
          <w:color w:val="auto"/>
        </w:rPr>
      </w:pPr>
    </w:p>
    <w:p>
      <w:pPr>
        <w:ind w:left="640" w:right="899" w:firstLine="443"/>
        <w:spacing w:after="0" w:line="282" w:lineRule="auto"/>
        <w:rPr>
          <w:sz w:val="20"/>
          <w:szCs w:val="20"/>
          <w:color w:val="auto"/>
        </w:rPr>
      </w:pPr>
      <w:r>
        <w:rPr>
          <w:rFonts w:ascii="Arial" w:cs="Arial" w:eastAsia="Arial" w:hAnsi="Arial"/>
          <w:sz w:val="14"/>
          <w:szCs w:val="14"/>
          <w:color w:val="auto"/>
        </w:rPr>
        <w:t>In addition, during the development of a new drug or biologic, sponsors are given opportunities to meet with the FDA at certain points. These points may be prior to submission of an IND, at the end of a phase 2 trial, and before an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3" w:name="page174"/>
    <w:bookmarkEnd w:id="17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spacing w:after="0" w:line="250" w:lineRule="auto"/>
        <w:rPr>
          <w:sz w:val="20"/>
          <w:szCs w:val="20"/>
          <w:color w:val="auto"/>
        </w:rPr>
      </w:pPr>
      <w:r>
        <w:rPr>
          <w:rFonts w:ascii="Arial" w:cs="Arial" w:eastAsia="Arial" w:hAnsi="Arial"/>
          <w:sz w:val="14"/>
          <w:szCs w:val="14"/>
          <w:color w:val="auto"/>
        </w:rPr>
        <w:t>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or biologic.</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U.S. Review and Approval Process</w:t>
      </w:r>
    </w:p>
    <w:p>
      <w:pPr>
        <w:spacing w:after="0" w:line="86"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or biologic, proposed labeling, and other relevant information are submitted to the FDA as part of an NDA or BLA requesting approval to market the product. Data can come from company-sponsored clinical trials intended to test the safety and effectiveness of a use of the product, or from a number of alternative sources, including trials initiated by independent investigators. To support marketing approval, the data submitted must be sufficient to establish the safety and efficacy of the investigational drug product or the safety, purity and potency of the investigational biological product, for its intended use or uses to the satisfaction of the FDA. The submission of an NDA or BLA is subject to the payment of user fees; a waiver of such fees may be obtained under certain limited circumstances.</w:t>
      </w:r>
    </w:p>
    <w:p>
      <w:pPr>
        <w:spacing w:after="0" w:line="60"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The FDA conducts a preliminary review of all NDAs and BLAs generally within the first 60 days after submission, before accepting them for filing, to determine whether they are sufficiently complete to permit substantive review. The FDA may request additional information rather than accept an application for filing. In this event, the NDA or BLA must be resubmitted with the additional information. The resubmitted application also is subject to preliminary review before the FDA accepts it for filing. Once accepted for filing, the FDA reviews an NDA or BLA to determine, among other things, whether a product is safe and effective for its intended use or uses and whether its manufacturing is cGMP-compliant to assure and preserve the product’s identity, strength, quality and purity. Under the Prescription Drug User Fee Act, or PDUFA, guidelines that are currently in effect, the FDA has a goal of ten months from the filing date to complete its initial review and act on a standard NDA for a drug that is a new molecular entity or a BLA. The FDA also has a goal of ten months from the date of NDA receipt to review and act on a standard NDA for a drug that is not a new molecular entity. The FDA does not always meet its goal dates, and the review process is often extended by FDA requests for additional information or clarification.</w:t>
      </w:r>
    </w:p>
    <w:p>
      <w:pPr>
        <w:spacing w:after="0" w:line="55"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The FDA may refer an application for a novel drug or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49" w:lineRule="exact"/>
        <w:rPr>
          <w:sz w:val="20"/>
          <w:szCs w:val="20"/>
          <w:color w:val="auto"/>
        </w:rPr>
      </w:pPr>
    </w:p>
    <w:p>
      <w:pPr>
        <w:ind w:left="640" w:right="739" w:firstLine="443"/>
        <w:spacing w:after="0" w:line="245" w:lineRule="auto"/>
        <w:rPr>
          <w:sz w:val="20"/>
          <w:szCs w:val="20"/>
          <w:color w:val="auto"/>
        </w:rPr>
      </w:pPr>
      <w:r>
        <w:rPr>
          <w:rFonts w:ascii="Arial" w:cs="Arial" w:eastAsia="Arial" w:hAnsi="Arial"/>
          <w:sz w:val="14"/>
          <w:szCs w:val="14"/>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designated specifications. Additionally, before approving an NDA or BLA, the FDA will typically inspect one or more clinical sites to assure compliance with GCPs and assure the integrity of the clinical data submitted to the FDA.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57"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After the FDA evaluates an NDA or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and other conditions of use. A CRL indicates that the review cycle of the application is complete and the application is not ready for approval. A CRL will describe all of the deficiencies that the FDA has identified in the NDA or BLA,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57" w:lineRule="exact"/>
        <w:rPr>
          <w:sz w:val="20"/>
          <w:szCs w:val="20"/>
          <w:color w:val="auto"/>
        </w:rPr>
      </w:pPr>
    </w:p>
    <w:p>
      <w:pPr>
        <w:ind w:left="640" w:right="699" w:firstLine="443"/>
        <w:spacing w:after="0" w:line="254" w:lineRule="auto"/>
        <w:rPr>
          <w:sz w:val="20"/>
          <w:szCs w:val="20"/>
          <w:color w:val="auto"/>
        </w:rPr>
      </w:pPr>
      <w:r>
        <w:rPr>
          <w:rFonts w:ascii="Arial" w:cs="Arial" w:eastAsia="Arial" w:hAnsi="Arial"/>
          <w:sz w:val="14"/>
          <w:szCs w:val="14"/>
          <w:color w:val="auto"/>
        </w:rPr>
        <w:t>If regulatory approval of a product is granted, such approval will be granted for particular indications and other conditions of use, and may entail limitations on the indicated uses for which such product may be marketed. For example, the FDA may approve the NDA or BLA with a Risk Evaluation and Mitigation Strategy, or REMS, to ensure the benefits of the product outweigh its risks. A REMS is a safety strategy to manage a known or potential serious risk associated with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4" w:name="page175"/>
    <w:bookmarkEnd w:id="17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spacing w:after="0" w:line="247" w:lineRule="auto"/>
        <w:rPr>
          <w:sz w:val="20"/>
          <w:szCs w:val="20"/>
          <w:color w:val="auto"/>
        </w:rPr>
      </w:pPr>
      <w:r>
        <w:rPr>
          <w:rFonts w:ascii="Arial" w:cs="Arial" w:eastAsia="Arial" w:hAnsi="Arial"/>
          <w:sz w:val="14"/>
          <w:szCs w:val="14"/>
          <w:color w:val="auto"/>
        </w:rPr>
        <w:t>medicine and to enable patients to have continued access to such medicines by managing their safe use, and could include medication guides, physician communication plans, assessment plans and/or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trials and surveillance to further assess and monitor the product’s safety and effectiveness after commercialization and may limit further marketing of the product based on the results of these post-marketing trials or surveillance programs.</w:t>
      </w:r>
    </w:p>
    <w:p>
      <w:pPr>
        <w:spacing w:after="0" w:line="54"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In addition, the Pediatric Research Equity Act, or PREA, requires a sponsor to conduct pediatric clinical trials for most drugs and biologics, including for a new active ingredient, new indication, new dosage form, new dosing regimen or new route of administration. Under PREA, original NDAs, BLAs,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U.S. Expedited Development and Review Programs</w:t>
      </w:r>
    </w:p>
    <w:p>
      <w:pPr>
        <w:spacing w:after="0" w:line="8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 or BLA is submitted, the product candidate may be eligible for priority review. A Fast Track-designated product candidate may also be eligible for rolling review, where the FDA may consider for review sections of the NDA or BLA on a rolling basis before the complete application is submitted. Rolling review may occur if the sponsor provides a schedule for the submission of the sections of the NDA or BLA, the FDA agrees to accept sections of the NDA or BLA for review and determines that the schedule is acceptable, and the sponsor pays any required user fees upon submission of the first section of the NDA or BLA.</w:t>
      </w:r>
    </w:p>
    <w:p>
      <w:pPr>
        <w:spacing w:after="0" w:line="55" w:lineRule="exact"/>
        <w:rPr>
          <w:sz w:val="20"/>
          <w:szCs w:val="20"/>
          <w:color w:val="auto"/>
        </w:rPr>
      </w:pPr>
    </w:p>
    <w:p>
      <w:pPr>
        <w:ind w:left="640" w:right="759" w:firstLine="443"/>
        <w:spacing w:after="0" w:line="246" w:lineRule="auto"/>
        <w:rPr>
          <w:sz w:val="20"/>
          <w:szCs w:val="20"/>
          <w:color w:val="auto"/>
        </w:rPr>
      </w:pPr>
      <w:r>
        <w:rPr>
          <w:rFonts w:ascii="Arial" w:cs="Arial" w:eastAsia="Arial" w:hAnsi="Arial"/>
          <w:sz w:val="14"/>
          <w:szCs w:val="14"/>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as a combination therapy with one or more other drugs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from FDA to expedite the development and review of the product candidate, including involvement of senior managers.</w:t>
      </w:r>
    </w:p>
    <w:p>
      <w:pPr>
        <w:spacing w:after="0" w:line="54"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A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 product candidate is eligible for priority review if it is designed to treat a serious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 or with respect to non-new-molecular-entity NDAs, within six months of the NDA receipt date.</w:t>
      </w:r>
    </w:p>
    <w:p>
      <w:pPr>
        <w:spacing w:after="0" w:line="54"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Additionally, product candidates studied for their safety and effectiveness in treating serious or life-threatening diseases or conditions may utilize an accelerated approval pathway upon a determination that the product has an effect on (1) a surrogate endpoint that is reasonably likely to predict clinical benefit or (2)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an adequate and well-controlled post-marketing clinical trial or trials to verify and describe the anticipated effect on irreversible morbidity or mortality or other clinical benefit. Any such confirmatory trial must be completed with due diligence and the FDA may require that the trial be underway prior to approval. Failure to conduct such required post-approval trials with due diligence, or to confirm a clinical benefit during such trials, would allow the</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5" w:name="page176"/>
    <w:bookmarkEnd w:id="17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1079"/>
        <w:spacing w:after="0" w:line="261" w:lineRule="auto"/>
        <w:rPr>
          <w:sz w:val="20"/>
          <w:szCs w:val="20"/>
          <w:color w:val="auto"/>
        </w:rPr>
      </w:pPr>
      <w:r>
        <w:rPr>
          <w:rFonts w:ascii="Arial" w:cs="Arial" w:eastAsia="Arial" w:hAnsi="Arial"/>
          <w:sz w:val="14"/>
          <w:szCs w:val="14"/>
          <w:color w:val="auto"/>
        </w:rPr>
        <w:t>FDA to withdraw the product from the market on an expedited basis. In addition, the FDA requires, as a condition of accelerated approval, the pre-submission of promotional materials, which can adversely impact the timing of the commercial launch of a product.</w:t>
      </w:r>
    </w:p>
    <w:p>
      <w:pPr>
        <w:spacing w:after="0" w:line="44" w:lineRule="exact"/>
        <w:rPr>
          <w:sz w:val="20"/>
          <w:szCs w:val="20"/>
          <w:color w:val="auto"/>
        </w:rPr>
      </w:pPr>
    </w:p>
    <w:p>
      <w:pPr>
        <w:ind w:left="640" w:right="719" w:firstLine="443"/>
        <w:spacing w:after="0" w:line="248" w:lineRule="auto"/>
        <w:rPr>
          <w:sz w:val="20"/>
          <w:szCs w:val="20"/>
          <w:color w:val="auto"/>
        </w:rPr>
      </w:pPr>
      <w:r>
        <w:rPr>
          <w:rFonts w:ascii="Arial" w:cs="Arial" w:eastAsia="Arial" w:hAnsi="Arial"/>
          <w:sz w:val="14"/>
          <w:szCs w:val="14"/>
          <w:color w:val="auto"/>
        </w:rPr>
        <w:t>Fast Track designation, Breakthrough Therapy designation, priority review designation, and the accelerated approval pathway do not change the scientific or medical standards for approval or the quality of evidence necessary to support approval. These pathways do not always lead to a faster development or regulatory review or approval process, and do not provide assurance of ultimate full FDA approval.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U.S. Marketing Exclusivity</w:t>
      </w:r>
    </w:p>
    <w:p>
      <w:pPr>
        <w:spacing w:after="0" w:line="86"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color w:val="auto"/>
        </w:rPr>
        <w:t>Market exclusivity provisions under the FDCA and the Public Health Service Act can delay the submission or the approval of certain marketing applications. The FDA provides periods of non-patent regulatory exclusivity, which provides the holder of an approved NDA limited protection from new competition in the marketplace. For drugs,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physiological or pharmacological activity of the drug substance. During the exclusivity period, the FDA may not accept for review or approve an abbreviated new drug application, or ANDA, or a 505(b)(2) NDA submitted by another company that contains the same active moiety. An ANDA or 505(b)(2) application, however, may be submitted one year before NCE exclusivity expires if a Paragraph IV certification of patent invalidity, unenforceability, or non-infringement is filed.</w:t>
      </w:r>
    </w:p>
    <w:p>
      <w:pPr>
        <w:spacing w:after="0" w:line="61"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ingredient for the original indication or condition of use. Five-year and three-year exclusivity will not delay the submission or approval of a 505(b)(1) NDA; however, an applicant submitting a 505(b)(1) NDA would be required to conduct or obtain a right of reference to all of the preclinical studies and adequate and well-controlled clinical trials necessary to demonstrate safety and efficacy.</w:t>
      </w:r>
    </w:p>
    <w:p>
      <w:pPr>
        <w:spacing w:after="0" w:line="57"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Biologics are also entitled to exclusivity under amendments to the Public Health Service Act from the Biologics Price Competition and Innovation Act, or the BPCIA. Under the BPCIA, a reference biological product is granted 12 years of data exclusivity, the period of time during which an innovator’s clinical data cannot be used by other companies, from the time of “first licensure” of the product, and an application for a biosimilar product may not be submitted to the FDA until four years following the date that the reference product was first licensed by the FDA. Biosimilarity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which is generally shown through a combination of analytical studies, animal studies and a clinical trial or trials. Certain biological products can also be shown to be interchangeable with the original biological product, which requires that a biological product be biosimilar to the reference product and that the product can be expected to produce the same clinical results as the reference product in any given patient, and for products administered multiple times, that the product and the reference product may be switched after one has been previously administered without increasing safety risks or risks of diminished efficacy relative to exclusive use of the reference biological product. In addition, the approval of a biosimilar product may not be made effective by the FDA until 12 years from the date on which the reference product was first licensed. The BPCIA also created certain exclusivity periods for biosimilars approved as interchangeable products.</w:t>
      </w:r>
    </w:p>
    <w:p>
      <w:pPr>
        <w:spacing w:after="0" w:line="228"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The FDA may also grant pediatric exclusivity to drugs, which provides an additional six months of exclusivity running from the expiration date of each other existing regulatory exclusivity period and from the date of each patent listed with FDA. The FDA may also grant pediatric exclusivity to biologics, but that exclusivity will only attach to the reference product and orphan drug exclusivity period, not patents for biological products. To be eligible for pediatric exclusivity, the FDA must issue a Written Request detailing the trials to be performed and the timeframe for their completion. If an applicant agrees to perform the trials as outlined in the Written Request, the applicant must submit trial reports at least nine months prior to the expiry of the exclusivity or patent, as applicable, that is to be extended. The trial reports must demonstrate that the applicant has met the conditions of the Written Request.</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6" w:name="page177"/>
    <w:bookmarkEnd w:id="17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U.S. Post-Approval Requirements</w:t>
      </w:r>
    </w:p>
    <w:p>
      <w:pPr>
        <w:spacing w:after="0" w:line="8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which include restrictions on promoting products for unapproved uses or patient populations (known as “off-label use”) and limitations on industry-sponsored scientific and educational activities. After approval, changes to the approved product, manufacturing locations or processes, or labeling are subject to FDA review and approval. Significant changes require prior FDA review and approval. Further, for certain modifications to the drug, including changes in indications, labeling or manufacturing processes or facilities, the applicant may be required to submit and obtain prior FDA approval of a new NDA, BLA or supplement, which may require the development and submission of additional data. There also are continuing, annual user fees due to FDA for any marketed products.</w:t>
      </w:r>
    </w:p>
    <w:p>
      <w:pPr>
        <w:spacing w:after="0" w:line="60"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Drug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in the event of a deviation affecting a marketed product. Manufacturers and other parties involved in the drug supply chain for prescription drug products must also comply with product tracking and other tracking requirements and must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cGMPs and other aspects of regulatory compliance.</w:t>
      </w:r>
    </w:p>
    <w:p>
      <w:pPr>
        <w:spacing w:after="0" w:line="219" w:lineRule="exact"/>
        <w:rPr>
          <w:sz w:val="20"/>
          <w:szCs w:val="20"/>
          <w:color w:val="auto"/>
        </w:rPr>
      </w:pPr>
    </w:p>
    <w:p>
      <w:pPr>
        <w:ind w:left="640" w:right="759" w:firstLine="443"/>
        <w:spacing w:after="0" w:line="247" w:lineRule="auto"/>
        <w:rPr>
          <w:sz w:val="20"/>
          <w:szCs w:val="20"/>
          <w:color w:val="auto"/>
        </w:rPr>
      </w:pPr>
      <w:r>
        <w:rPr>
          <w:rFonts w:ascii="Arial" w:cs="Arial" w:eastAsia="Arial" w:hAnsi="Arial"/>
          <w:sz w:val="14"/>
          <w:szCs w:val="14"/>
          <w:color w:val="auto"/>
        </w:rPr>
        <w:t>The FDA may withdraw approval of an NDA or BLA for various reasons, including based on new concerns related to safety or effectiveness or if compliance with regulatory requirements and standards is not maintained. Later discovery of previously unknown problems with a product, including AEs of unanticipated severity or frequency, or with manufacturing processes, or failure to comply with regulatory requirements, may also result in revisions to the approved labeling to add new safety information; imposition of post-market trials or clinical trials to assess new safety risks; or imposition of distribution restrictions or other restrictions under a REMS program. Other potential consequences for the failure to meet applicable requirements include, among other things:</w:t>
      </w:r>
    </w:p>
    <w:p>
      <w:pPr>
        <w:spacing w:after="0" w:line="54" w:lineRule="exact"/>
        <w:rPr>
          <w:sz w:val="20"/>
          <w:szCs w:val="20"/>
          <w:color w:val="auto"/>
        </w:rPr>
      </w:pPr>
    </w:p>
    <w:p>
      <w:pPr>
        <w:ind w:left="1260" w:right="1079" w:hanging="179"/>
        <w:spacing w:after="0" w:line="281" w:lineRule="auto"/>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fines, warning letters or untitled letters;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clinical holds on clinical trials;</w:t>
      </w:r>
    </w:p>
    <w:p>
      <w:pPr>
        <w:spacing w:after="0" w:line="96"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refusal of the FDA to approve pending applications or supplements to approved applications or suspension or revocation of product approvals;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product seizure or detention or refusal to permit the import or export of products;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consent decrees, corporate integrity agreements, debarment or exclusion from federal healthcare programs;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mandated modification of promotional materials and labeling and the issuance of corrective information;</w:t>
      </w:r>
    </w:p>
    <w:p>
      <w:pPr>
        <w:spacing w:after="0" w:line="96" w:lineRule="exact"/>
        <w:rPr>
          <w:rFonts w:ascii="Times New Roman" w:cs="Times New Roman" w:eastAsia="Times New Roman" w:hAnsi="Times New Roman"/>
          <w:sz w:val="14"/>
          <w:szCs w:val="14"/>
          <w:color w:val="auto"/>
        </w:rPr>
      </w:pPr>
    </w:p>
    <w:p>
      <w:pPr>
        <w:ind w:left="1260" w:right="1099" w:hanging="179"/>
        <w:spacing w:after="0" w:line="281" w:lineRule="auto"/>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the issuance of safety alerts, Dear Healthcare Provider letters, press releases, and other communications containing warnings or other safety information about the product; or</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69"/>
        </w:numPr>
        <w:rPr>
          <w:rFonts w:ascii="Times New Roman" w:cs="Times New Roman" w:eastAsia="Times New Roman" w:hAnsi="Times New Roman"/>
          <w:sz w:val="14"/>
          <w:szCs w:val="14"/>
          <w:color w:val="auto"/>
        </w:rPr>
      </w:pPr>
      <w:r>
        <w:rPr>
          <w:rFonts w:ascii="Arial" w:cs="Arial" w:eastAsia="Arial" w:hAnsi="Arial"/>
          <w:sz w:val="14"/>
          <w:szCs w:val="14"/>
          <w:color w:val="auto"/>
        </w:rPr>
        <w:t>injunctions or the imposition of civil or criminal penalties.</w:t>
      </w:r>
    </w:p>
    <w:p>
      <w:pPr>
        <w:spacing w:after="0" w:line="96"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The FDA closely regulates the marketing, labeling, advertising, and promotion of drugs and biologics. A company may make only those claims relating to safety, efficacy, purity and potency that are approved by the FDA and in accordance with the provisions of the approved labeling. The FDA and other agencies actively enforce the laws and regulations prohibiting the promotion of off-label uses and misleading promotion. Failure to comply with these requirements may result in, among other things, adverse publicity, warning or other enforcement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7" w:name="page178"/>
    <w:bookmarkEnd w:id="17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spacing w:after="0" w:line="282" w:lineRule="auto"/>
        <w:rPr>
          <w:sz w:val="20"/>
          <w:szCs w:val="20"/>
          <w:color w:val="auto"/>
        </w:rPr>
      </w:pPr>
      <w:r>
        <w:rPr>
          <w:rFonts w:ascii="Arial" w:cs="Arial" w:eastAsia="Arial" w:hAnsi="Arial"/>
          <w:sz w:val="14"/>
          <w:szCs w:val="14"/>
          <w:color w:val="auto"/>
        </w:rPr>
        <w:t>companies may share truthful and not misleading information that is otherwise consistent with a product’s FDA-approved labeling.</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Other Regulatory Matters</w:t>
      </w:r>
    </w:p>
    <w:p>
      <w:pPr>
        <w:spacing w:after="0" w:line="86" w:lineRule="exact"/>
        <w:rPr>
          <w:sz w:val="20"/>
          <w:szCs w:val="20"/>
          <w:color w:val="auto"/>
        </w:rPr>
      </w:pPr>
    </w:p>
    <w:p>
      <w:pPr>
        <w:ind w:left="640" w:right="719" w:firstLine="443"/>
        <w:spacing w:after="0" w:line="244" w:lineRule="auto"/>
        <w:rPr>
          <w:sz w:val="20"/>
          <w:szCs w:val="20"/>
          <w:color w:val="auto"/>
        </w:rPr>
      </w:pPr>
      <w:r>
        <w:rPr>
          <w:rFonts w:ascii="Arial" w:cs="Arial" w:eastAsia="Arial" w:hAnsi="Arial"/>
          <w:sz w:val="14"/>
          <w:szCs w:val="14"/>
          <w:color w:val="auto"/>
        </w:rPr>
        <w:t>Manufacturing, sales, promotion and other activities following product approval are also subject to regulation by numerous regulatory authorities in addition to the FDA, including, in the United States, the Centers for Medicare &amp; Medicaid Services, or CMS, other divisions of the Department of Health and Human Services, or HHS, (e.g., the Office of Inspector General and Office for Civil Rights),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federal and state fraud and abuse laws, data privacy and security laws, transparency laws and pricing and reimbursement requirements in connection with governmental payor programs, among others. The handling of any controlled substances must comply with the U.S. Controlled Substances Act and Controlled Substances Import and Export Act, as well as applicable state laws.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55" w:lineRule="exact"/>
        <w:rPr>
          <w:sz w:val="20"/>
          <w:szCs w:val="20"/>
          <w:color w:val="auto"/>
        </w:rPr>
      </w:pPr>
    </w:p>
    <w:p>
      <w:pPr>
        <w:ind w:left="640" w:right="1079" w:firstLine="443"/>
        <w:spacing w:after="0" w:line="261"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44"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The failure to comply with regulatory requirements subjects companies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company to enter into supply contracts, including government contracts. In addition, even if a company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54" w:lineRule="exact"/>
        <w:rPr>
          <w:sz w:val="20"/>
          <w:szCs w:val="20"/>
          <w:color w:val="auto"/>
        </w:rPr>
      </w:pPr>
    </w:p>
    <w:p>
      <w:pPr>
        <w:ind w:left="640" w:right="699" w:firstLine="443"/>
        <w:spacing w:after="0" w:line="254" w:lineRule="auto"/>
        <w:rPr>
          <w:sz w:val="20"/>
          <w:szCs w:val="20"/>
          <w:color w:val="auto"/>
        </w:rPr>
      </w:pPr>
      <w:r>
        <w:rPr>
          <w:rFonts w:ascii="Arial" w:cs="Arial" w:eastAsia="Arial" w:hAnsi="Arial"/>
          <w:sz w:val="14"/>
          <w:szCs w:val="14"/>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U.S. Patent Term Restoration and Marketing Exclusivity</w:t>
      </w:r>
    </w:p>
    <w:p>
      <w:pPr>
        <w:spacing w:after="0" w:line="86" w:lineRule="exact"/>
        <w:rPr>
          <w:sz w:val="20"/>
          <w:szCs w:val="20"/>
          <w:color w:val="auto"/>
        </w:rPr>
      </w:pPr>
    </w:p>
    <w:p>
      <w:pPr>
        <w:ind w:left="640" w:right="719" w:firstLine="443"/>
        <w:spacing w:after="0" w:line="243" w:lineRule="auto"/>
        <w:rPr>
          <w:sz w:val="20"/>
          <w:szCs w:val="20"/>
          <w:color w:val="auto"/>
        </w:rPr>
      </w:pPr>
      <w:r>
        <w:rPr>
          <w:rFonts w:ascii="Arial" w:cs="Arial" w:eastAsia="Arial" w:hAnsi="Arial"/>
          <w:sz w:val="14"/>
          <w:szCs w:val="14"/>
          <w:color w:val="auto"/>
        </w:rPr>
        <w:t>Depending upon the timing, duration and specifics of the FDA approval of our product candidates, some of our future U.S. patents may be eligible for limited patent term extension under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product is eligible for the extension and, among other requirements, the application for the extension must be submitted prior to the expiration of the patent. The USPTO, in consultation with the FDA, reviews and approves the application for any patent term extension or restoration. In the future, we may apply for restoration of patent term for our then owned or licensed patents to add patent life beyond its current expiration date, depending on the expected length of the clinical trials and other factors involved in the filing of the relevant NDA or BLA.</w:t>
      </w:r>
    </w:p>
    <w:p>
      <w:pPr>
        <w:spacing w:after="0" w:line="61" w:lineRule="exact"/>
        <w:rPr>
          <w:sz w:val="20"/>
          <w:szCs w:val="20"/>
          <w:color w:val="auto"/>
        </w:rPr>
      </w:pPr>
    </w:p>
    <w:p>
      <w:pPr>
        <w:ind w:left="640" w:right="839" w:firstLine="443"/>
        <w:spacing w:after="0" w:line="261" w:lineRule="auto"/>
        <w:rPr>
          <w:sz w:val="20"/>
          <w:szCs w:val="20"/>
          <w:color w:val="auto"/>
        </w:rPr>
      </w:pPr>
      <w:r>
        <w:rPr>
          <w:rFonts w:ascii="Arial" w:cs="Arial" w:eastAsia="Arial" w:hAnsi="Arial"/>
          <w:sz w:val="14"/>
          <w:szCs w:val="14"/>
          <w:color w:val="auto"/>
        </w:rPr>
        <w:t>An abbreviated approval pathway for biological products shown to be biosimilar to, or interchangeable with, an FDA-licensed reference biological product was created by the BPCIA, which was part of the Patient Protection and Affordable Care Act, as amended by the Health Care and Education Reconciliation Act of 2010, or collectively the ACA.</w:t>
      </w:r>
    </w:p>
    <w:p>
      <w:pPr>
        <w:spacing w:after="0" w:line="44" w:lineRule="exact"/>
        <w:rPr>
          <w:sz w:val="20"/>
          <w:szCs w:val="20"/>
          <w:color w:val="auto"/>
        </w:rPr>
      </w:pPr>
    </w:p>
    <w:p>
      <w:pPr>
        <w:ind w:left="640" w:right="699" w:firstLine="443"/>
        <w:spacing w:after="0" w:line="246" w:lineRule="auto"/>
        <w:rPr>
          <w:sz w:val="20"/>
          <w:szCs w:val="20"/>
          <w:color w:val="auto"/>
        </w:rPr>
      </w:pPr>
      <w:r>
        <w:rPr>
          <w:rFonts w:ascii="Arial" w:cs="Arial" w:eastAsia="Arial" w:hAnsi="Arial"/>
          <w:sz w:val="14"/>
          <w:szCs w:val="14"/>
          <w:color w:val="auto"/>
        </w:rPr>
        <w:t>As noted above, a reference biological product may be eligible for 12-year exclusivity from the time of “first licensure.”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Whether a subsequent application, if approved, warrants exclusivity as the “first licensure” of a biological product is determined on a case-by-case basis with data submitted by the sponsor.</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8" w:name="page179"/>
    <w:bookmarkEnd w:id="17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Pricing and Reimbursement</w:t>
      </w:r>
    </w:p>
    <w:p>
      <w:pPr>
        <w:spacing w:after="0" w:line="86" w:lineRule="exact"/>
        <w:rPr>
          <w:sz w:val="20"/>
          <w:szCs w:val="20"/>
          <w:color w:val="auto"/>
        </w:rPr>
      </w:pPr>
    </w:p>
    <w:p>
      <w:pPr>
        <w:ind w:left="640" w:right="759" w:firstLine="443"/>
        <w:spacing w:after="0" w:line="244" w:lineRule="auto"/>
        <w:rPr>
          <w:sz w:val="20"/>
          <w:szCs w:val="20"/>
          <w:color w:val="auto"/>
        </w:rPr>
      </w:pPr>
      <w:r>
        <w:rPr>
          <w:rFonts w:ascii="Arial" w:cs="Arial" w:eastAsia="Arial" w:hAnsi="Arial"/>
          <w:sz w:val="14"/>
          <w:szCs w:val="14"/>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and can be a time-consuming process, with no assurance that coverage and adequate reimbursement will be applied consistently or obtained in the first instance or at all. These third-party payors are increasingly reducing reimbursements for medical products and services.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p>
    <w:p>
      <w:pPr>
        <w:spacing w:after="0" w:line="60" w:lineRule="exact"/>
        <w:rPr>
          <w:sz w:val="20"/>
          <w:szCs w:val="20"/>
          <w:color w:val="auto"/>
        </w:rPr>
      </w:pPr>
    </w:p>
    <w:p>
      <w:pPr>
        <w:ind w:left="640" w:right="719" w:firstLine="443"/>
        <w:spacing w:after="0" w:line="242" w:lineRule="auto"/>
        <w:rPr>
          <w:sz w:val="20"/>
          <w:szCs w:val="20"/>
          <w:color w:val="auto"/>
        </w:rPr>
      </w:pPr>
      <w:r>
        <w:rPr>
          <w:rFonts w:ascii="Arial" w:cs="Arial" w:eastAsia="Arial" w:hAnsi="Arial"/>
          <w:sz w:val="14"/>
          <w:szCs w:val="14"/>
          <w:color w:val="auto"/>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In order to secure coverage and reimbursement for any product candidate that might be approved for sale, we may need to conduct expensive pharmacoeconomic studies to demonstrate the medical necessity and cost-effectiveness of the product candidate, in addition to the costs required to obtain FDA or other comparable regulatory approvals. Whether or not we conduct such studies, our product candidates may not be considered medically necessary or cost-effective. A third-party payor’s decision to provide coverage for a product does not imply that an adequate reimbursement rate will be approved. Third-party reimbursement may not be sufficient to enable us to maintain price levels high enough to realize an appropriate return on our investment in product development. In the United States, the principal decisions about reimbursement for new products are typically made by CMS, an agency within HHS. CMS decides whether and to what extent a new product will be covered and reimbursed under Medicare, and private payors tend to follow CMS to a substantial degree. However, no uniform policy of coverage and reimbursement for products exists among third-party payors and coverage and reimbursement levels for products can differ significantly from payor to payor. Moreover, as a condition of participating in, and having products covered under, certain federal healthcare programs, such as Medicare and Medicaid, we will be subject to federal laws and regulations that require pharmaceutical manufacturers to calculate and report certain price reporting metrics to the government, such as Medicaid Average Manufacturer Price, or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 if any of our product candidates are approved.</w:t>
      </w:r>
    </w:p>
    <w:p>
      <w:pPr>
        <w:spacing w:after="0" w:line="220" w:lineRule="exact"/>
        <w:rPr>
          <w:sz w:val="20"/>
          <w:szCs w:val="20"/>
          <w:color w:val="auto"/>
        </w:rPr>
      </w:pPr>
    </w:p>
    <w:p>
      <w:pPr>
        <w:ind w:left="640" w:right="679" w:firstLine="516"/>
        <w:spacing w:after="0" w:line="247" w:lineRule="auto"/>
        <w:rPr>
          <w:sz w:val="20"/>
          <w:szCs w:val="20"/>
          <w:color w:val="auto"/>
        </w:rPr>
      </w:pPr>
      <w:r>
        <w:rPr>
          <w:rFonts w:ascii="Arial" w:cs="Arial" w:eastAsia="Arial" w:hAnsi="Arial"/>
          <w:sz w:val="14"/>
          <w:szCs w:val="14"/>
          <w:color w:val="auto"/>
        </w:rPr>
        <w:t>Further, CMS imposes rebates on many Medicare Part B and Medicare Part D products to penalize price increases that outpace inflation on an annual basis. CMS has also been empowered to negotiate the price of certain single-source drugs that have been on the market for at least seven years and single-source biologics that have been on the market for at least 11 years covered under Medicare as part of the Medicare Drug Price Negotiation Program. Each year, up to 20 products will be selected by CMS for the Medicare Drug Price Negotiation Program. Products subject to the Medicare Drug Price Negotiation Program are expected to experience a significant reduction in reimbursement from the Medicare program on a per unit basis.</w:t>
      </w:r>
    </w:p>
    <w:p>
      <w:pPr>
        <w:spacing w:after="0" w:line="54"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The containment of healthcare costs has become a priority of federal and state governments, and the prices of drugs and biologics, have been a focus in this effort. The U.S. government, state legislatures and foreign governments have shown significant interest in implementing cost-containment programs, including by passing legislation and regulations designed to control pharmaceutical and biological product pricing, including government price controls, price or patient reimbursement constraints, discounts, restrictions on certain drug access, marketing cost disclosure, transparency measures, requirements for substitution of generic products and other measures designed to encourage importation from other countries and bulk purchasing. In many countries, the prices of products are subject to varying price control mechanisms as part of national health systems. For example, in the European Union, or the EU, pricing and reimbursement schemes vary widely from country to country. Some countries provide that products may be marketed only after a reimbursement price has been approved.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 countries attempt to manage healthcare expenditures. Historically, products launched in the EU do not follow price structures of the United States and generally prices tend to be significantly lower. In general, the prices of products under such systems are substantially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9" w:name="page180"/>
    <w:bookmarkEnd w:id="17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spacing w:after="0" w:line="247" w:lineRule="auto"/>
        <w:rPr>
          <w:sz w:val="20"/>
          <w:szCs w:val="20"/>
          <w:color w:val="auto"/>
        </w:rPr>
      </w:pPr>
      <w:r>
        <w:rPr>
          <w:rFonts w:ascii="Arial" w:cs="Arial" w:eastAsia="Arial" w:hAnsi="Arial"/>
          <w:sz w:val="14"/>
          <w:szCs w:val="14"/>
          <w:color w:val="auto"/>
        </w:rPr>
        <w:t>lower than in the United States. Accordingly, in markets outside the United States, the reimbursement for products may be reduced compared with the United States. Adoption of price controls and cost-containment measures, and adoption of more restrictive policies in jurisdictions with existing controls and measures, could further limit our future net revenue and results if our product candidates are approved in these jurisdictions. Decreases in third-party reimbursement for any of our product candidates or a decision by a third-party payor to not cover our product candidates could reduce physician usage of the product candidates, if approved, and have a material adverse effect on our sales, financial condition and results of operations.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Other Healthcare Laws and Compliance Requirements</w:t>
      </w:r>
    </w:p>
    <w:p>
      <w:pPr>
        <w:spacing w:after="0" w:line="86" w:lineRule="exact"/>
        <w:rPr>
          <w:sz w:val="20"/>
          <w:szCs w:val="20"/>
          <w:color w:val="auto"/>
        </w:rPr>
      </w:pPr>
    </w:p>
    <w:p>
      <w:pPr>
        <w:ind w:left="640" w:right="939" w:firstLine="443"/>
        <w:spacing w:after="0" w:line="261" w:lineRule="auto"/>
        <w:rPr>
          <w:sz w:val="20"/>
          <w:szCs w:val="20"/>
          <w:color w:val="auto"/>
        </w:rPr>
      </w:pPr>
      <w:r>
        <w:rPr>
          <w:rFonts w:ascii="Arial" w:cs="Arial" w:eastAsia="Arial" w:hAnsi="Arial"/>
          <w:sz w:val="14"/>
          <w:szCs w:val="14"/>
          <w:color w:val="auto"/>
        </w:rPr>
        <w:t>In the United States, drug manufacturers and sponsors are subject to a number of federal and state healthcare regulatory laws that restrict business practices in the healthcare industry. These laws include, but are not limited to, federal and state anti-kickback, false claims, and other healthcare fraud and abuse laws, as described below.</w:t>
      </w:r>
    </w:p>
    <w:p>
      <w:pPr>
        <w:spacing w:after="0" w:line="44" w:lineRule="exact"/>
        <w:rPr>
          <w:sz w:val="20"/>
          <w:szCs w:val="20"/>
          <w:color w:val="auto"/>
        </w:rPr>
      </w:pPr>
    </w:p>
    <w:p>
      <w:pPr>
        <w:ind w:left="640" w:right="739" w:firstLine="443"/>
        <w:spacing w:after="0" w:line="250" w:lineRule="auto"/>
        <w:rPr>
          <w:sz w:val="20"/>
          <w:szCs w:val="20"/>
          <w:color w:val="auto"/>
        </w:rPr>
      </w:pPr>
      <w:r>
        <w:rPr>
          <w:rFonts w:ascii="Arial" w:cs="Arial" w:eastAsia="Arial" w:hAnsi="Arial"/>
          <w:sz w:val="14"/>
          <w:szCs w:val="14"/>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w:t>
      </w:r>
    </w:p>
    <w:p>
      <w:pPr>
        <w:spacing w:after="0" w:line="53"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The federal false claims laws, including the federal False Claims Act, or the FCA,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FCA may be brought by the U.S. Attorney General or as a qui tam action by a private individual in the name of the government. Moreover, a claim including items or services resulting from a violation of the U.S. federal Anti-Kickback Statute constitutes a false or fraudulent claim for purposes of the civil FCA.</w:t>
      </w:r>
    </w:p>
    <w:p>
      <w:pPr>
        <w:spacing w:after="0" w:line="57" w:lineRule="exact"/>
        <w:rPr>
          <w:sz w:val="20"/>
          <w:szCs w:val="20"/>
          <w:color w:val="auto"/>
        </w:rPr>
      </w:pPr>
    </w:p>
    <w:p>
      <w:pPr>
        <w:ind w:left="640" w:right="919" w:firstLine="443"/>
        <w:spacing w:after="0" w:line="250" w:lineRule="auto"/>
        <w:rPr>
          <w:sz w:val="20"/>
          <w:szCs w:val="20"/>
          <w:color w:val="auto"/>
        </w:rPr>
      </w:pPr>
      <w:r>
        <w:rPr>
          <w:rFonts w:ascii="Arial" w:cs="Arial" w:eastAsia="Arial" w:hAnsi="Arial"/>
          <w:sz w:val="14"/>
          <w:szCs w:val="14"/>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53" w:lineRule="exact"/>
        <w:rPr>
          <w:sz w:val="20"/>
          <w:szCs w:val="20"/>
          <w:color w:val="auto"/>
        </w:rPr>
      </w:pPr>
    </w:p>
    <w:p>
      <w:pPr>
        <w:ind w:left="640" w:right="739" w:firstLine="443"/>
        <w:spacing w:after="0" w:line="248"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54" w:lineRule="exact"/>
        <w:rPr>
          <w:sz w:val="20"/>
          <w:szCs w:val="20"/>
          <w:color w:val="auto"/>
        </w:rPr>
      </w:pPr>
    </w:p>
    <w:p>
      <w:pPr>
        <w:ind w:left="640" w:right="779" w:firstLine="443"/>
        <w:spacing w:after="0" w:line="248" w:lineRule="auto"/>
        <w:rPr>
          <w:sz w:val="20"/>
          <w:szCs w:val="20"/>
          <w:color w:val="auto"/>
        </w:rPr>
      </w:pPr>
      <w:r>
        <w:rPr>
          <w:rFonts w:ascii="Arial" w:cs="Arial" w:eastAsia="Arial" w:hAnsi="Arial"/>
          <w:sz w:val="14"/>
          <w:szCs w:val="14"/>
          <w:color w:val="auto"/>
        </w:rPr>
        <w:t>HIPAA, as amended by the Health Information Technology for Economic and Clinical Health Act, or HITECH, and their respective implementing regulations,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54"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0" w:name="page181"/>
    <w:bookmarkEnd w:id="18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679" w:firstLine="443"/>
        <w:spacing w:after="0" w:line="261" w:lineRule="auto"/>
        <w:rPr>
          <w:sz w:val="20"/>
          <w:szCs w:val="20"/>
          <w:color w:val="auto"/>
        </w:rPr>
      </w:pPr>
      <w:r>
        <w:rPr>
          <w:rFonts w:ascii="Arial" w:cs="Arial" w:eastAsia="Arial" w:hAnsi="Arial"/>
          <w:sz w:val="14"/>
          <w:szCs w:val="14"/>
          <w:color w:val="auto"/>
        </w:rPr>
        <w:t>There are federal price reporting laws, which require manufacturers to calculate and report complex pricing metrics to government programs, and such reported prices may be used in the calculation of reimbursement and/or discounts on approved products.</w:t>
      </w:r>
    </w:p>
    <w:p>
      <w:pPr>
        <w:spacing w:after="0" w:line="44" w:lineRule="exact"/>
        <w:rPr>
          <w:sz w:val="20"/>
          <w:szCs w:val="20"/>
          <w:color w:val="auto"/>
        </w:rPr>
      </w:pPr>
    </w:p>
    <w:p>
      <w:pPr>
        <w:ind w:left="640" w:right="1099" w:firstLine="443"/>
        <w:spacing w:after="0" w:line="282" w:lineRule="auto"/>
        <w:rPr>
          <w:sz w:val="20"/>
          <w:szCs w:val="20"/>
          <w:color w:val="auto"/>
        </w:rPr>
      </w:pPr>
      <w:r>
        <w:rPr>
          <w:rFonts w:ascii="Arial" w:cs="Arial" w:eastAsia="Arial" w:hAnsi="Arial"/>
          <w:sz w:val="14"/>
          <w:szCs w:val="14"/>
          <w:color w:val="auto"/>
        </w:rPr>
        <w:t>There are also federal consumer protection and unfair competition laws, which broadly regulate marketplace activities and activities that potentially harm consumers.</w:t>
      </w:r>
    </w:p>
    <w:p>
      <w:pPr>
        <w:spacing w:after="0" w:line="30"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certain regulatory licenses to manufacture or distribute our products commercially and/or the registration of pharmaceutical sales representatives.</w:t>
      </w:r>
    </w:p>
    <w:p>
      <w:pPr>
        <w:spacing w:after="0" w:line="57"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Healthcare Reform</w:t>
      </w:r>
    </w:p>
    <w:p>
      <w:pPr>
        <w:spacing w:after="0" w:line="86" w:lineRule="exact"/>
        <w:rPr>
          <w:sz w:val="20"/>
          <w:szCs w:val="20"/>
          <w:color w:val="auto"/>
        </w:rPr>
      </w:pPr>
    </w:p>
    <w:p>
      <w:pPr>
        <w:ind w:left="640" w:right="659" w:firstLine="483"/>
        <w:spacing w:after="0" w:line="242" w:lineRule="auto"/>
        <w:rPr>
          <w:sz w:val="20"/>
          <w:szCs w:val="20"/>
          <w:color w:val="auto"/>
        </w:rPr>
      </w:pPr>
      <w:r>
        <w:rPr>
          <w:rFonts w:ascii="Arial" w:cs="Arial" w:eastAsia="Arial" w:hAnsi="Arial"/>
          <w:sz w:val="14"/>
          <w:szCs w:val="14"/>
          <w:color w:val="auto"/>
        </w:rPr>
        <w:t>In the United States,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Other legislative changes have been proposed and adopted in the United States since the ACA was enacted. In addition, aggregate reductions to Medicare payments to providers of 2% per fiscal year, which began in 2013 and will remain in effect until 2032 unless additional Congressional action is taken.</w:t>
      </w:r>
    </w:p>
    <w:p>
      <w:pPr>
        <w:spacing w:after="0" w:line="65" w:lineRule="exact"/>
        <w:rPr>
          <w:sz w:val="20"/>
          <w:szCs w:val="20"/>
          <w:color w:val="auto"/>
        </w:rPr>
      </w:pPr>
    </w:p>
    <w:p>
      <w:pPr>
        <w:ind w:left="640" w:right="699" w:firstLine="443"/>
        <w:spacing w:after="0" w:line="242" w:lineRule="auto"/>
        <w:rPr>
          <w:sz w:val="20"/>
          <w:szCs w:val="20"/>
          <w:color w:val="auto"/>
        </w:rPr>
      </w:pPr>
      <w:r>
        <w:rPr>
          <w:rFonts w:ascii="Arial" w:cs="Arial" w:eastAsia="Arial" w:hAnsi="Arial"/>
          <w:sz w:val="14"/>
          <w:szCs w:val="14"/>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Most-Favored Nation pricing equal to or lower than those paid in other developed nations for certain prescription drugs under Medicaid and for certain newly launched products across all market channels in the U.S., with additional mandates for direct-to-patient discounts through a direct to consumer platform, or TrumpRx and repatriation of certain foreign revenues. Other recent actions, for example, include (1) directing agencies to reduce agency workforce and cut programs; (2) directing HHS and other agencies to lower prescription drug costs through a variety of initiatives; (3) considering the imposition of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1" w:name="page182"/>
    <w:bookmarkEnd w:id="18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54" w:lineRule="auto"/>
        <w:rPr>
          <w:sz w:val="20"/>
          <w:szCs w:val="20"/>
          <w:color w:val="auto"/>
        </w:rPr>
      </w:pPr>
      <w:r>
        <w:rPr>
          <w:rFonts w:ascii="Arial" w:cs="Arial" w:eastAsia="Arial" w:hAnsi="Arial"/>
          <w:sz w:val="14"/>
          <w:szCs w:val="14"/>
          <w:color w:val="auto"/>
        </w:rPr>
        <w:t xml:space="preserve">increasing their operational costs and compliance risks. In June 2024, the U.S. Supreme Court’s </w:t>
      </w:r>
      <w:r>
        <w:rPr>
          <w:rFonts w:ascii="Arial" w:cs="Arial" w:eastAsia="Arial" w:hAnsi="Arial"/>
          <w:sz w:val="14"/>
          <w:szCs w:val="14"/>
          <w:i w:val="1"/>
          <w:iCs w:val="1"/>
          <w:color w:val="auto"/>
        </w:rPr>
        <w:t>Loper Bright</w:t>
      </w:r>
      <w:r>
        <w:rPr>
          <w:rFonts w:ascii="Arial" w:cs="Arial" w:eastAsia="Arial" w:hAnsi="Arial"/>
          <w:sz w:val="14"/>
          <w:szCs w:val="14"/>
          <w:color w:val="auto"/>
        </w:rPr>
        <w:t xml:space="preserve">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49"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57" w:lineRule="exact"/>
        <w:rPr>
          <w:sz w:val="20"/>
          <w:szCs w:val="20"/>
          <w:color w:val="auto"/>
        </w:rPr>
      </w:pPr>
    </w:p>
    <w:p>
      <w:pPr>
        <w:ind w:left="640" w:right="739" w:firstLine="443"/>
        <w:spacing w:after="0" w:line="268" w:lineRule="auto"/>
        <w:rPr>
          <w:sz w:val="20"/>
          <w:szCs w:val="20"/>
          <w:color w:val="auto"/>
        </w:rPr>
      </w:pPr>
      <w:r>
        <w:rPr>
          <w:rFonts w:ascii="Arial" w:cs="Arial" w:eastAsia="Arial" w:hAnsi="Arial"/>
          <w:sz w:val="14"/>
          <w:szCs w:val="14"/>
          <w:color w:val="auto"/>
        </w:rPr>
        <w:t>We cannot predict what healthcare reform initiatives may be adopted in the future. Further federal, state and foreign legislative and regulatory developments are likely, and we expect ongoing initiatives to increase pressure on drug pricing.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The Foreign Corrupt Practices Act</w:t>
      </w:r>
    </w:p>
    <w:p>
      <w:pPr>
        <w:spacing w:after="0" w:line="86" w:lineRule="exact"/>
        <w:rPr>
          <w:sz w:val="20"/>
          <w:szCs w:val="20"/>
          <w:color w:val="auto"/>
        </w:rPr>
      </w:pPr>
    </w:p>
    <w:p>
      <w:pPr>
        <w:ind w:left="640" w:right="719" w:firstLine="438"/>
        <w:spacing w:after="0" w:line="247" w:lineRule="auto"/>
        <w:rPr>
          <w:sz w:val="20"/>
          <w:szCs w:val="20"/>
          <w:color w:val="auto"/>
        </w:rPr>
      </w:pPr>
      <w:r>
        <w:rPr>
          <w:rFonts w:ascii="Arial" w:cs="Arial" w:eastAsia="Arial" w:hAnsi="Arial"/>
          <w:sz w:val="14"/>
          <w:szCs w:val="14"/>
          <w:color w:val="auto"/>
        </w:rPr>
        <w:t>The Foreign Corrupt Practices Act of 1977, or the FCPA, prohibits any U.S. individual or business, as well as its employees, agents, and other representatives, from paying, offering, authorizing payment or offering of anything of value, directly or indirectly, to any foreign official, political party or candidate for the purpose of influencing any act or decision of the foreign entity in order to obtain, retain, or direct business. The FCPA also obligates companies whose securities are publicly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Additional Regulation</w:t>
      </w:r>
    </w:p>
    <w:p>
      <w:pPr>
        <w:spacing w:after="0" w:line="86"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Europe and Rest of World Government Regulation</w:t>
      </w:r>
    </w:p>
    <w:p>
      <w:pPr>
        <w:spacing w:after="0" w:line="8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Our regulatory strategy involves filing CTAs for our early-stage clinical trials in jurisdictions outside of the United States to support enrollment in our clinical trials, which may include Australia and other countries. As a result, in addition to regulations in the United States, we expect to be subject to a variety of regulations in other jurisdictions that we may in the future select to test or commercialize our product candidates,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CTA much like the IND prior to the commencement of human clinical trials. In the EU, for example, a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57" w:lineRule="exact"/>
        <w:rPr>
          <w:sz w:val="20"/>
          <w:szCs w:val="20"/>
          <w:color w:val="auto"/>
        </w:rPr>
      </w:pPr>
    </w:p>
    <w:p>
      <w:pPr>
        <w:ind w:left="640" w:right="659" w:firstLine="443"/>
        <w:spacing w:after="0" w:line="261" w:lineRule="auto"/>
        <w:rPr>
          <w:sz w:val="20"/>
          <w:szCs w:val="20"/>
          <w:color w:val="auto"/>
        </w:rPr>
      </w:pPr>
      <w:r>
        <w:rPr>
          <w:rFonts w:ascii="Arial" w:cs="Arial" w:eastAsia="Arial" w:hAnsi="Arial"/>
          <w:sz w:val="14"/>
          <w:szCs w:val="14"/>
          <w:color w:val="auto"/>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p>
    <w:p>
      <w:pPr>
        <w:spacing w:after="0" w:line="44"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To obtain regulatory approval of an investigational drug or biological product under EU regulatory systems, we must submit a MAA, either under a centralized procedure administered by the EMA or one of the procedures administered by competent authorities in the EU member states. The application used to file the NDA in the United States is similar to that required in the EU, with the exception of, among other things, country-specific document requirements.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2" w:name="page183"/>
    <w:bookmarkEnd w:id="18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819" w:firstLine="443"/>
        <w:spacing w:after="0" w:line="254" w:lineRule="auto"/>
        <w:rPr>
          <w:sz w:val="20"/>
          <w:szCs w:val="20"/>
          <w:color w:val="auto"/>
        </w:rPr>
      </w:pPr>
      <w:r>
        <w:rPr>
          <w:rFonts w:ascii="Arial" w:cs="Arial" w:eastAsia="Arial" w:hAnsi="Arial"/>
          <w:sz w:val="14"/>
          <w:szCs w:val="14"/>
          <w:color w:val="auto"/>
        </w:rPr>
        <w:t>For other countries outside of the EU, such as Australia,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spacing w:after="0" w:line="49" w:lineRule="exact"/>
        <w:rPr>
          <w:sz w:val="20"/>
          <w:szCs w:val="20"/>
          <w:color w:val="auto"/>
        </w:rPr>
      </w:pPr>
    </w:p>
    <w:p>
      <w:pPr>
        <w:jc w:val="both"/>
        <w:ind w:left="640" w:right="1119" w:firstLine="443"/>
        <w:spacing w:after="0" w:line="261" w:lineRule="auto"/>
        <w:rPr>
          <w:sz w:val="20"/>
          <w:szCs w:val="20"/>
          <w:color w:val="auto"/>
        </w:rPr>
      </w:pPr>
      <w:r>
        <w:rPr>
          <w:rFonts w:ascii="Arial" w:cs="Arial" w:eastAsia="Arial" w:hAnsi="Arial"/>
          <w:sz w:val="14"/>
          <w:szCs w:val="14"/>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Data Privacy and Information Security Laws</w:t>
      </w:r>
    </w:p>
    <w:p>
      <w:pPr>
        <w:spacing w:after="0" w:line="86"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In the ordinary course of business, we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Accordingly, we are subject to numerous data privacy and security obligations, including federal, state, and local laws, regulations, guidance, industry standards, external and internal privacy and security policies, contractual requirements and other obligations related to data privacy and security.</w:t>
      </w:r>
    </w:p>
    <w:p>
      <w:pPr>
        <w:spacing w:after="0" w:line="54" w:lineRule="exact"/>
        <w:rPr>
          <w:sz w:val="20"/>
          <w:szCs w:val="20"/>
          <w:color w:val="auto"/>
        </w:rPr>
      </w:pPr>
    </w:p>
    <w:p>
      <w:pPr>
        <w:ind w:left="640" w:right="699" w:firstLine="443"/>
        <w:spacing w:after="0" w:line="246" w:lineRule="auto"/>
        <w:rPr>
          <w:sz w:val="20"/>
          <w:szCs w:val="20"/>
          <w:color w:val="auto"/>
        </w:rPr>
      </w:pPr>
      <w:r>
        <w:rPr>
          <w:rFonts w:ascii="Arial" w:cs="Arial" w:eastAsia="Arial" w:hAnsi="Arial"/>
          <w:sz w:val="14"/>
          <w:szCs w:val="14"/>
          <w:color w:val="auto"/>
        </w:rPr>
        <w:t>These data privacy and security laws are evolving and impose potentially conflicting obligations. Such obligations include, without limitation, the Federal Trade Commission Act, the European Union’s General Data Protection Regulation 2016/679 , or EU GDPR, the EU GDPR as it forms part of United Kingdom, or UK, law by virtue of section 3 of the European Union (Withdrawal) Act 2018, or UK GDPR, and HIPAA, as amended by HITECH. In addition, numerous U.S. states have enacted comprehensive privacy laws that impose certain obligations on covered businesses, and similar laws are being considered at the federal and state levels. These new laws are examples of the increasingly stringent and evolving regulatory frameworks related to personal data processing that may increase our compliance obligations and exposure for any noncompliance.</w:t>
      </w:r>
    </w:p>
    <w:p>
      <w:pPr>
        <w:spacing w:after="0" w:line="54" w:lineRule="exact"/>
        <w:rPr>
          <w:sz w:val="20"/>
          <w:szCs w:val="20"/>
          <w:color w:val="auto"/>
        </w:rPr>
      </w:pPr>
    </w:p>
    <w:p>
      <w:pPr>
        <w:ind w:left="640" w:right="699" w:firstLine="443"/>
        <w:spacing w:after="0" w:line="243" w:lineRule="auto"/>
        <w:rPr>
          <w:sz w:val="20"/>
          <w:szCs w:val="20"/>
          <w:color w:val="auto"/>
        </w:rPr>
      </w:pPr>
      <w:r>
        <w:rPr>
          <w:rFonts w:ascii="Arial" w:cs="Arial" w:eastAsia="Arial" w:hAnsi="Arial"/>
          <w:sz w:val="14"/>
          <w:szCs w:val="14"/>
          <w:color w:val="auto"/>
        </w:rPr>
        <w:t>Additionally, because we collect personal data from individuals outside of the United States, through clinical trials or otherwise, we are, or may become, subject to foreign data privacy and security laws, such as the EU GDPR. Foreign data privacy and security laws impose significant and complex compliance obligations on entities that are subject to those laws. For example,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EU in certain circumstances.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86" w:lineRule="exact"/>
        <w:rPr>
          <w:sz w:val="20"/>
          <w:szCs w:val="20"/>
          <w:color w:val="auto"/>
        </w:rPr>
      </w:pPr>
    </w:p>
    <w:p>
      <w:pPr>
        <w:ind w:left="640" w:right="799" w:firstLine="443"/>
        <w:spacing w:after="0" w:line="254" w:lineRule="auto"/>
        <w:rPr>
          <w:sz w:val="20"/>
          <w:szCs w:val="20"/>
          <w:color w:val="auto"/>
        </w:rPr>
      </w:pPr>
      <w:r>
        <w:rPr>
          <w:rFonts w:ascii="Arial" w:cs="Arial" w:eastAsia="Arial" w:hAnsi="Arial"/>
          <w:sz w:val="14"/>
          <w:szCs w:val="14"/>
          <w:color w:val="auto"/>
        </w:rPr>
        <w:t>As of March 31, 2026, we had 100 full-time employees. Of those, 80 were engaged in research and development activities. Approximately 60% of our employees hold Ph.D. or M.D. degrees. Approximately 91% of our employees are located in the United States. We do not have any employees that are represented by a labor union or covered by a collective bargaining agreement. We consider our relationship with our employees to be good.</w:t>
      </w:r>
    </w:p>
    <w:p>
      <w:pPr>
        <w:spacing w:after="0" w:line="49" w:lineRule="exact"/>
        <w:rPr>
          <w:sz w:val="20"/>
          <w:szCs w:val="20"/>
          <w:color w:val="auto"/>
        </w:rPr>
      </w:pPr>
    </w:p>
    <w:p>
      <w:pPr>
        <w:ind w:left="640" w:right="779" w:firstLine="443"/>
        <w:spacing w:after="0" w:line="246" w:lineRule="auto"/>
        <w:rPr>
          <w:sz w:val="20"/>
          <w:szCs w:val="20"/>
          <w:color w:val="auto"/>
        </w:rPr>
      </w:pPr>
      <w:r>
        <w:rPr>
          <w:rFonts w:ascii="Arial" w:cs="Arial" w:eastAsia="Arial" w:hAnsi="Arial"/>
          <w:sz w:val="14"/>
          <w:szCs w:val="14"/>
          <w:color w:val="auto"/>
        </w:rPr>
        <w:t>Our future success depends on our ability to attract, develop and retain key personnel, maintain our culture and ensure diversity and inclusion among our board of directors, management and broader workforce. Our human resources objectives include, as applicable, identifying, attracting, retaining, incentivizing and integrating existing and prospective employees. Our employees have access to a broad range of benefits, including health insurance, a 401(k) plan, equity incentive plans and other customary employee benefits. The purpose of these benefits is to attract and retain the best available personnel, incentivize our employees, promote the success of our business and strengthen the mutuality of interest between employees and our stockholders. As these areas directly impact our ability to compete and innovate, they are key focus areas for our board of directors and management.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Scientific Advisory Board</w:t>
      </w:r>
    </w:p>
    <w:p>
      <w:pPr>
        <w:spacing w:after="0" w:line="86" w:lineRule="exact"/>
        <w:rPr>
          <w:sz w:val="20"/>
          <w:szCs w:val="20"/>
          <w:color w:val="auto"/>
        </w:rPr>
      </w:pPr>
    </w:p>
    <w:p>
      <w:pPr>
        <w:jc w:val="both"/>
        <w:ind w:left="640" w:right="759" w:firstLine="443"/>
        <w:spacing w:after="0" w:line="261" w:lineRule="auto"/>
        <w:rPr>
          <w:sz w:val="20"/>
          <w:szCs w:val="20"/>
          <w:color w:val="auto"/>
        </w:rPr>
      </w:pPr>
      <w:r>
        <w:rPr>
          <w:rFonts w:ascii="Arial" w:cs="Arial" w:eastAsia="Arial" w:hAnsi="Arial"/>
          <w:sz w:val="14"/>
          <w:szCs w:val="14"/>
          <w:color w:val="auto"/>
        </w:rPr>
        <w:t>While our team of employees and consultants has a profound knowledge of immune biology, we also seek advice from our scientific advisory board, which is comprised of preeminent immunology researchers. Members of our scientific advisory board include multiple investigators at the Howard Hughes Medical Institute and leading experts globally who</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3" w:name="page184"/>
    <w:bookmarkEnd w:id="18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40" w:right="839"/>
        <w:spacing w:after="0" w:line="261" w:lineRule="auto"/>
        <w:rPr>
          <w:sz w:val="20"/>
          <w:szCs w:val="20"/>
          <w:color w:val="auto"/>
        </w:rPr>
      </w:pPr>
      <w:r>
        <w:rPr>
          <w:rFonts w:ascii="Arial" w:cs="Arial" w:eastAsia="Arial" w:hAnsi="Arial"/>
          <w:sz w:val="14"/>
          <w:szCs w:val="14"/>
          <w:color w:val="auto"/>
        </w:rPr>
        <w:t>have conducted foundational research to identify and characterize a number of our therapeutic targets, including RIPK2 and SLC15A4. Our scientific advisory board meets periodically with our board of directors and management to discuss matters relating to our business activities.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Facilities</w:t>
      </w:r>
    </w:p>
    <w:p>
      <w:pPr>
        <w:spacing w:after="0" w:line="86" w:lineRule="exact"/>
        <w:rPr>
          <w:sz w:val="20"/>
          <w:szCs w:val="20"/>
          <w:color w:val="auto"/>
        </w:rPr>
      </w:pPr>
    </w:p>
    <w:p>
      <w:pPr>
        <w:ind w:left="640" w:right="659" w:firstLine="438"/>
        <w:spacing w:after="0" w:line="246" w:lineRule="auto"/>
        <w:rPr>
          <w:sz w:val="20"/>
          <w:szCs w:val="20"/>
          <w:color w:val="auto"/>
        </w:rPr>
      </w:pPr>
      <w:r>
        <w:rPr>
          <w:rFonts w:ascii="Arial" w:cs="Arial" w:eastAsia="Arial" w:hAnsi="Arial"/>
          <w:sz w:val="14"/>
          <w:szCs w:val="14"/>
          <w:color w:val="auto"/>
        </w:rPr>
        <w:t>We currently lease approximately 45,632 square feet of space as our corporate headquarters in Boston, Massachusetts. The lease expires in September 2029. We also currently lease approximately 19,845 square feet of space in Ann Arbor, Michigan, which expires in December 2026 and is used for research and development and office space. We have the option to extend both leases described above once for an additional five-year term on largely the same terms but at the then-current market rate. We also rent additional space in Ann Arbor, Michigan that we use for a variety of administrative and research and development activities. We believe that our existing facilities are adequate to meet our current needs, and that suitable additional alternative spaces will be available in the future on commercially reasonable terms.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Legal Proceedings</w:t>
      </w:r>
    </w:p>
    <w:p>
      <w:pPr>
        <w:spacing w:after="0" w:line="86" w:lineRule="exact"/>
        <w:rPr>
          <w:sz w:val="20"/>
          <w:szCs w:val="20"/>
          <w:color w:val="auto"/>
        </w:rPr>
      </w:pPr>
    </w:p>
    <w:p>
      <w:pPr>
        <w:ind w:left="640" w:right="759" w:firstLine="438"/>
        <w:spacing w:after="0" w:line="254" w:lineRule="auto"/>
        <w:rPr>
          <w:sz w:val="20"/>
          <w:szCs w:val="20"/>
          <w:color w:val="auto"/>
        </w:rPr>
      </w:pPr>
      <w:r>
        <w:rPr>
          <w:rFonts w:ascii="Arial" w:cs="Arial" w:eastAsia="Arial" w:hAnsi="Arial"/>
          <w:sz w:val="14"/>
          <w:szCs w:val="14"/>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Corporate Information</w:t>
      </w:r>
    </w:p>
    <w:p>
      <w:pPr>
        <w:spacing w:after="0" w:line="86" w:lineRule="exact"/>
        <w:rPr>
          <w:sz w:val="20"/>
          <w:szCs w:val="20"/>
          <w:color w:val="auto"/>
        </w:rPr>
      </w:pPr>
    </w:p>
    <w:p>
      <w:pPr>
        <w:ind w:left="640" w:right="719" w:firstLine="438"/>
        <w:spacing w:after="0" w:line="250" w:lineRule="auto"/>
        <w:rPr>
          <w:sz w:val="20"/>
          <w:szCs w:val="20"/>
          <w:color w:val="auto"/>
        </w:rPr>
      </w:pPr>
      <w:r>
        <w:rPr>
          <w:rFonts w:ascii="Arial" w:cs="Arial" w:eastAsia="Arial" w:hAnsi="Arial"/>
          <w:sz w:val="14"/>
          <w:szCs w:val="14"/>
          <w:color w:val="auto"/>
        </w:rPr>
        <w:t>We were incorporated in Delaware in April 2021. Our principal executive offices are located at 51 Sleeper Street, Suite 800, Boston, MA 02210, and our telephone number is (617) 865-9628. Our website address is https://odysseytx.com/.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4" w:name="page185"/>
    <w:bookmarkEnd w:id="18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MANAGEMENT</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Executive Officers and Directors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Set forth below is certain biographical and other information regarding our executive officers and directors as of</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         , 2026.</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160" w:type="dxa"/>
            <w:vAlign w:val="bottom"/>
          </w:tcPr>
          <w:p>
            <w:pPr>
              <w:spacing w:after="0"/>
              <w:rPr>
                <w:sz w:val="11"/>
                <w:szCs w:val="11"/>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w w:val="96"/>
              </w:rPr>
              <w:t>Age </w:t>
            </w:r>
          </w:p>
        </w:tc>
        <w:tc>
          <w:tcPr>
            <w:tcW w:w="160" w:type="dxa"/>
            <w:vAlign w:val="bottom"/>
          </w:tcPr>
          <w:p>
            <w:pPr>
              <w:spacing w:after="0"/>
              <w:rPr>
                <w:sz w:val="11"/>
                <w:szCs w:val="11"/>
                <w:color w:val="auto"/>
              </w:rPr>
            </w:pPr>
          </w:p>
        </w:tc>
        <w:tc>
          <w:tcPr>
            <w:tcW w:w="3600" w:type="dxa"/>
            <w:vAlign w:val="bottom"/>
            <w:tcBorders>
              <w:bottom w:val="single" w:sz="8" w:color="auto"/>
            </w:tcBorders>
          </w:tcPr>
          <w:p>
            <w:pPr>
              <w:ind w:left="1540"/>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48"/>
        </w:trPr>
        <w:tc>
          <w:tcPr>
            <w:tcW w:w="3360" w:type="dxa"/>
            <w:vAlign w:val="bottom"/>
          </w:tcPr>
          <w:p>
            <w:pPr>
              <w:spacing w:after="0" w:line="148" w:lineRule="exact"/>
              <w:rPr>
                <w:sz w:val="20"/>
                <w:szCs w:val="20"/>
                <w:color w:val="auto"/>
              </w:rPr>
            </w:pPr>
            <w:r>
              <w:rPr>
                <w:rFonts w:ascii="Arial" w:cs="Arial" w:eastAsia="Arial" w:hAnsi="Arial"/>
                <w:sz w:val="14"/>
                <w:szCs w:val="14"/>
                <w:b w:val="1"/>
                <w:bCs w:val="1"/>
                <w:color w:val="auto"/>
              </w:rPr>
              <w:t>Executive Officers</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Gary D. Glick,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President, Chief Executive Officer and 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Natalie Dales,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Chief of Research Operations and Portfolio Strategy</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Jason Haas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Anthony Opipari, M.D.,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Interim Chief Medical Officer and Executive Vice</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President, Translational Medicine</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Jolie M. Siegel</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Executive Vice President, General Counsel and</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Secretary</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Collin Todd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Senior Vice President, Strategy and Business</w:t>
            </w:r>
          </w:p>
        </w:tc>
        <w:tc>
          <w:tcPr>
            <w:tcW w:w="0" w:type="dxa"/>
            <w:vAlign w:val="bottom"/>
          </w:tcPr>
          <w:p>
            <w:pPr>
              <w:spacing w:after="0"/>
              <w:rPr>
                <w:sz w:val="1"/>
                <w:szCs w:val="1"/>
                <w:color w:val="auto"/>
              </w:rPr>
            </w:pPr>
          </w:p>
        </w:tc>
      </w:tr>
      <w:tr>
        <w:trPr>
          <w:trHeight w:val="190"/>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Non-Employee Directors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133"/>
        </w:trPr>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Jeffrey M. Leiden, M.D.,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Chair and 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Jill Carroll</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Shelley Chu, M.D.,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Carl L. Gordon, Ph.D., CFA</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Paulina Hill,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Nan Li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Carolyn Ng,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Valerie Odegard,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Ksenija Pavletic</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Ian F. Smith</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Nia Tatsis, Ph.D.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20"/>
                <w:szCs w:val="20"/>
                <w:color w:val="auto"/>
              </w:rPr>
            </w:pPr>
            <w:r>
              <w:rPr>
                <w:rFonts w:ascii="Arial" w:cs="Arial" w:eastAsia="Arial" w:hAnsi="Arial"/>
                <w:sz w:val="14"/>
                <w:szCs w:val="14"/>
                <w:color w:val="auto"/>
              </w:rPr>
              <w:t>Timothy P. Walbert</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following are brief biographies describing the backgrounds of our executive officers and directors.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Executive Officers</w:t>
      </w:r>
    </w:p>
    <w:p>
      <w:pPr>
        <w:spacing w:after="0" w:line="84"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b w:val="1"/>
          <w:bCs w:val="1"/>
          <w:color w:val="auto"/>
        </w:rPr>
        <w:t xml:space="preserve">Gary D. Glick, Ph.D. </w:t>
      </w:r>
      <w:r>
        <w:rPr>
          <w:rFonts w:ascii="Arial" w:cs="Arial" w:eastAsia="Arial" w:hAnsi="Arial"/>
          <w:sz w:val="14"/>
          <w:szCs w:val="14"/>
          <w:color w:val="auto"/>
        </w:rPr>
        <w:t>is our founder and has served as our President, Chief Executive Officer and a director since</w:t>
      </w:r>
      <w:r>
        <w:rPr>
          <w:rFonts w:ascii="Arial" w:cs="Arial" w:eastAsia="Arial" w:hAnsi="Arial"/>
          <w:sz w:val="14"/>
          <w:szCs w:val="14"/>
          <w:b w:val="1"/>
          <w:bCs w:val="1"/>
          <w:color w:val="auto"/>
        </w:rPr>
        <w:t xml:space="preserve"> </w:t>
      </w:r>
      <w:r>
        <w:rPr>
          <w:rFonts w:ascii="Arial" w:cs="Arial" w:eastAsia="Arial" w:hAnsi="Arial"/>
          <w:sz w:val="14"/>
          <w:szCs w:val="14"/>
          <w:color w:val="auto"/>
        </w:rPr>
        <w:t>April 2021. Dr. Glick is a chemist and serial biotechnology entrepreneur with over 15 years of experience in the biotechnology industry. Dr. Glick has also served as the Executive Chairman of Charm Therapeutics Limited, or Charm, a London-based biotechnology company focused on developing a new generation of menin inhibitors for acute myeloid leukemia, since January 2022, and as interim Chief Executive Officer since June 2025. Dr. Glick devotes approximately 10 hours per week, on average, to his role at Charm, which time commitment is not materially different to the time he spent on Charm matters when he was Executive Chairman and not also interim Chief Executive Officer. In fulfilling his responsibilities to Charm, Dr. Glick seeks to leverage the time zone difference between London and Boston to complete as many of his responsibilities as possible for Charm during times that are outside of customary business hours in Boston. Dr. Glick has founded several successful companies, including IFM Therapeutics, LLC, or IFM, a private biotechnology company. Dr. Glick has served as Executive Chairman of IFM since December 2019 and previously served as Chief Executive Officer from 2015 to November 2019. During Dr. Glick’s tenure as Chief Executive Officer, IFM progressed three programs from ideation to clinical development and executed several major transactions generating proceeds to date of $750 million. Subject to the achievement of various milestones, proceeds from those sales could reach more than $4.7 billion. Prior to founding Odyssey in 2021, Dr. Glick co-founded and launched Scorpion Therapeutics, or Scorpion, in February 2020, where he played an instrumental role in the conception and building of the company. During his tenure as Chief Executive Officer from February 2020 to February 2021, Scorpion grew to nearly 50 employees and raised $270 million across two financings. In early 2025, it was announced that Eli Lilly and Company had entered into a definitive agreement to acquire Scorpion for up to $ 2.5 billion in cash. Dr. Glick also founded Lycera Corporation earlier in his career, serving as Chief Scientific Officer. Dr. Glick received his Ph.D. in organic chemistry from Columbia University and completed an NIH postdoctoral fellowship in organic chemistry at Harvard University.</w:t>
      </w:r>
    </w:p>
    <w:p>
      <w:pPr>
        <w:spacing w:after="0" w:line="60" w:lineRule="exact"/>
        <w:rPr>
          <w:sz w:val="20"/>
          <w:szCs w:val="20"/>
          <w:color w:val="auto"/>
        </w:rPr>
      </w:pPr>
    </w:p>
    <w:p>
      <w:pPr>
        <w:ind w:left="640" w:right="719" w:firstLine="443"/>
        <w:spacing w:after="0" w:line="282" w:lineRule="auto"/>
        <w:rPr>
          <w:sz w:val="20"/>
          <w:szCs w:val="20"/>
          <w:color w:val="auto"/>
        </w:rPr>
      </w:pPr>
      <w:r>
        <w:rPr>
          <w:rFonts w:ascii="Arial" w:cs="Arial" w:eastAsia="Arial" w:hAnsi="Arial"/>
          <w:sz w:val="14"/>
          <w:szCs w:val="14"/>
          <w:b w:val="1"/>
          <w:bCs w:val="1"/>
          <w:color w:val="auto"/>
        </w:rPr>
        <w:t xml:space="preserve">Natalie Dales, Ph.D. </w:t>
      </w:r>
      <w:r>
        <w:rPr>
          <w:rFonts w:ascii="Arial" w:cs="Arial" w:eastAsia="Arial" w:hAnsi="Arial"/>
          <w:sz w:val="14"/>
          <w:szCs w:val="14"/>
          <w:color w:val="auto"/>
        </w:rPr>
        <w:t>has served as our Chief of Research Operations and Portfolio Strategy since November</w:t>
      </w:r>
      <w:r>
        <w:rPr>
          <w:rFonts w:ascii="Arial" w:cs="Arial" w:eastAsia="Arial" w:hAnsi="Arial"/>
          <w:sz w:val="14"/>
          <w:szCs w:val="14"/>
          <w:b w:val="1"/>
          <w:bCs w:val="1"/>
          <w:color w:val="auto"/>
        </w:rPr>
        <w:t xml:space="preserve"> </w:t>
      </w:r>
      <w:r>
        <w:rPr>
          <w:rFonts w:ascii="Arial" w:cs="Arial" w:eastAsia="Arial" w:hAnsi="Arial"/>
          <w:sz w:val="14"/>
          <w:szCs w:val="14"/>
          <w:color w:val="auto"/>
        </w:rPr>
        <w:t>2022. Dr. Dales also served in several roles of increasing seniority within our Enabling Sciences department, including as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5" w:name="page186"/>
    <w:bookmarkEnd w:id="18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99"/>
        <w:spacing w:after="0" w:line="244" w:lineRule="auto"/>
        <w:rPr>
          <w:sz w:val="20"/>
          <w:szCs w:val="20"/>
          <w:color w:val="auto"/>
        </w:rPr>
      </w:pPr>
      <w:r>
        <w:rPr>
          <w:rFonts w:ascii="Arial" w:cs="Arial" w:eastAsia="Arial" w:hAnsi="Arial"/>
          <w:sz w:val="14"/>
          <w:szCs w:val="14"/>
          <w:color w:val="auto"/>
        </w:rPr>
        <w:t>Senior Vice President from October 2021 to February 2022 and Executive Vice President from February 2022 to November 2022. Dr. Dales is an accomplished scientist with more than 20 years of experience in small-molecule drug discovery and has led and mentored teams across the biopharmaceutical and biotechnology industries throughout her career. Prior to joining Odyssey, Dr. Dales worked at Novartis AG (NYSE: NVS) for 17 years, where she held roles of increasing seniority from Scientific Investigator to Executive Director, Global Discovery Chemistry. Additionally, from October 2019 to October 2021, Dr. Dales also held the role of Head of Portfolio and Strategy for Global Discovery Chemistry. She was also a Senior Advisor to Novartis Genesis Labs, Novartis AG’s internal innovation incubator. Earlier in her career, Dr. Dales worked as a senior scientist at Millennium Pharmaceuticals, Inc. (later acquired by Takeda Pharmaceutical Company Limited, NYSE: TAK), where she contributed to oncology, cardiovascular and metabolism research programs. Dr. Dales received her Ph.D. in organic chemistry from the University of Wisconsin and earned her B.S. in chemistry from the University of Michigan.</w:t>
      </w:r>
    </w:p>
    <w:p>
      <w:pPr>
        <w:spacing w:after="0" w:line="57"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b w:val="1"/>
          <w:bCs w:val="1"/>
          <w:color w:val="auto"/>
        </w:rPr>
        <w:t xml:space="preserve">Jason Haas </w:t>
      </w:r>
      <w:r>
        <w:rPr>
          <w:rFonts w:ascii="Arial" w:cs="Arial" w:eastAsia="Arial" w:hAnsi="Arial"/>
          <w:sz w:val="14"/>
          <w:szCs w:val="14"/>
          <w:color w:val="auto"/>
        </w:rPr>
        <w:t>has served as our Chief Financial Officer since December 2024. Mr. Haas is a dynamic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leader with over 25 years of experience in healthcare investment banking and the biotechnology industry. Prior to joining Odyssey, he served as Chief Financial Officer at Syros Pharmaceuticals, Inc. (Nasdaq: SYRS) from October 2021 until November 2024. Previously, Mr. Haas served as Co-head of Americas, Healthcare Investment Banking at Barclays plc from June 2016 to October 2021. From 2012 to June 2016, Mr. Haas served as Head of Americas, Healthcare Investment Banking at Deutsche Bank AG, or Deutsche Bank. Before that, he was a Managing Director on the Healthcare Investment Banking team at Goldman Sachs &amp; Co. Mr. Haas currently serves on the board of directors of Ligand Pharmaceuticals Incorporated (Nasdaq: LGND), a public biotechnology company. Mr. Haas earned his B.A. in international relations and economics from Colgate University and his M.B.A. from Columbia Business School.</w:t>
      </w:r>
    </w:p>
    <w:p>
      <w:pPr>
        <w:spacing w:after="0" w:line="57"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b w:val="1"/>
          <w:bCs w:val="1"/>
          <w:color w:val="auto"/>
        </w:rPr>
        <w:t xml:space="preserve">Anthony Opipari, M.D., Ph.D. </w:t>
      </w:r>
      <w:r>
        <w:rPr>
          <w:rFonts w:ascii="Arial" w:cs="Arial" w:eastAsia="Arial" w:hAnsi="Arial"/>
          <w:sz w:val="14"/>
          <w:szCs w:val="14"/>
          <w:color w:val="auto"/>
        </w:rPr>
        <w:t>has served as our interim Chief Medical Officer since August 2024. Dr. Opipari has</w:t>
      </w:r>
      <w:r>
        <w:rPr>
          <w:rFonts w:ascii="Arial" w:cs="Arial" w:eastAsia="Arial" w:hAnsi="Arial"/>
          <w:sz w:val="14"/>
          <w:szCs w:val="14"/>
          <w:b w:val="1"/>
          <w:bCs w:val="1"/>
          <w:color w:val="auto"/>
        </w:rPr>
        <w:t xml:space="preserve"> </w:t>
      </w:r>
      <w:r>
        <w:rPr>
          <w:rFonts w:ascii="Arial" w:cs="Arial" w:eastAsia="Arial" w:hAnsi="Arial"/>
          <w:sz w:val="14"/>
          <w:szCs w:val="14"/>
          <w:color w:val="auto"/>
        </w:rPr>
        <w:t>led translational medicine at Odyssey since the company was founded having joined as a Senior Vice President, Translational Medicine in 2021. He was appointed as an Executive Vice President in 2024. Dr. Opipari is a physician-scientist with experience in academic medicine as a clinician and principal investigator as well as co-founding several biotechnology companies. Before joining Odyssey, he co-founded Lycera Corporation in 2006 and worked there as a Senior Director of Biology until 2021. In 2021 he co-founded both Firstwave Bio and IFM Therapeutics. He led research in translational medicine and directed early clinical development at both Firstwave and IFM until joining Odyssey in 2021. Prior to working in the industry, he was a member of the University of Michigan Medical School faculty with an appointment in the Division of Gynecological Oncology. Dr. Opipari received his M.D. and Ph.D. in cellular and molecular biology and completed his post-graduate medical training at the University of Michigan.</w:t>
      </w:r>
    </w:p>
    <w:p>
      <w:pPr>
        <w:spacing w:after="0" w:line="60"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b w:val="1"/>
          <w:bCs w:val="1"/>
          <w:color w:val="auto"/>
        </w:rPr>
        <w:t xml:space="preserve">Jolie M. Siegel </w:t>
      </w:r>
      <w:r>
        <w:rPr>
          <w:rFonts w:ascii="Arial" w:cs="Arial" w:eastAsia="Arial" w:hAnsi="Arial"/>
          <w:sz w:val="14"/>
          <w:szCs w:val="14"/>
          <w:color w:val="auto"/>
        </w:rPr>
        <w:t>has served as our Executive Vice President and General Counsel since January 2026 and as</w:t>
      </w:r>
      <w:r>
        <w:rPr>
          <w:rFonts w:ascii="Arial" w:cs="Arial" w:eastAsia="Arial" w:hAnsi="Arial"/>
          <w:sz w:val="14"/>
          <w:szCs w:val="14"/>
          <w:b w:val="1"/>
          <w:bCs w:val="1"/>
          <w:color w:val="auto"/>
        </w:rPr>
        <w:t xml:space="preserve"> </w:t>
      </w:r>
      <w:r>
        <w:rPr>
          <w:rFonts w:ascii="Arial" w:cs="Arial" w:eastAsia="Arial" w:hAnsi="Arial"/>
          <w:sz w:val="14"/>
          <w:szCs w:val="14"/>
          <w:color w:val="auto"/>
        </w:rPr>
        <w:t>Secretary since February 2026. Ms. Siegel is an accomplished legal and business executive with significant experience working with biotechnology companies during periods of growth and transformation. Prior to joining Odyssey, from July 2020 to January 2026, Ms. Siegel served as Chief Legal Officer and Corporate Secretary of C4 Therapeutics, Inc. (Nasdaq: CCCC), where she also served as Secretary from February 2021 to January 2026, and as interim Chief Legal Officer in a consulting capacity in June 2020. From August 2018 to May 2020, Ms. Siegel served as Vice President, General Counsel and Corporate Secretary of Neon Therapeutics, Inc., an immune oncology company. Ms. Siegel also provided consulting legal services to Neon between March and August 2018. At each of C4 Therapeutics and Neon Therapeutics, Ms. Siegel was responsible for legal, intellectual property and corporate compliance matters. From February 2013 to April 2017, Ms. Siegel served as Senior Vice President, Deputy General Counsel and Assistant Secretary of Intralinks Holdings, Inc., a technology provider for the global financial and capital markets communities. In this role, Ms. Siegel was responsible for corporate governance, compliance, public company reporting, mergers and acquisition, marketing and finance matters. From 2007 to 2013, Ms. Siegel was a partner at Choate, Hall &amp; Stewart LLP, a law firm, where she worked on corporate transactional, securities and general business matters, with an emphasis on private equity, venture capital and high-growth companies. Ms. Siegel holds a J.D. from the University of Pennsylvania Law School and a B.A. in political science from the University of Pennsylvania.</w:t>
      </w:r>
    </w:p>
    <w:p>
      <w:pPr>
        <w:spacing w:after="0" w:line="6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b w:val="1"/>
          <w:bCs w:val="1"/>
          <w:color w:val="auto"/>
        </w:rPr>
        <w:t xml:space="preserve">Collin Todd </w:t>
      </w:r>
      <w:r>
        <w:rPr>
          <w:rFonts w:ascii="Arial" w:cs="Arial" w:eastAsia="Arial" w:hAnsi="Arial"/>
          <w:sz w:val="14"/>
          <w:szCs w:val="14"/>
          <w:color w:val="auto"/>
        </w:rPr>
        <w:t>has served as our Senior Vice President, Strategy and Business Development since June 2024 and is</w:t>
      </w:r>
      <w:r>
        <w:rPr>
          <w:rFonts w:ascii="Arial" w:cs="Arial" w:eastAsia="Arial" w:hAnsi="Arial"/>
          <w:sz w:val="14"/>
          <w:szCs w:val="14"/>
          <w:b w:val="1"/>
          <w:bCs w:val="1"/>
          <w:color w:val="auto"/>
        </w:rPr>
        <w:t xml:space="preserve"> </w:t>
      </w:r>
      <w:r>
        <w:rPr>
          <w:rFonts w:ascii="Arial" w:cs="Arial" w:eastAsia="Arial" w:hAnsi="Arial"/>
          <w:sz w:val="14"/>
          <w:szCs w:val="14"/>
          <w:color w:val="auto"/>
        </w:rPr>
        <w:t>responsible for the management of our strategic, business development and capital formation matters. Since joining Odyssey in December 2021, Mr. Todd has overseen our Series B, Series C and Series D financings and the execution of our collaboration agreements. Mr. Todd has over a decade of experience in investing, company operations, corporate and business development and strategic planning in the biotechnology industry. From September 2017 until December 2021, Mr. Todd served in various strategy and business development roles at SpringWorks Therapeutics, Inc., where he was involved in completing over $ 600 million of private and public financings and the execution of more than 10 licensing and partnering transactions. Prior to SpringWorks, Mr. Todd was a strategy professional at Moderna, Inc. and a member of the private equity team at OrbiMed Advisors LLC, or OrbiMed, where he was involved in deal sourcing, evaluation and execution. Mr. Todd began his career as an investment banker at Bank of America Merrill Lynch where he worked with</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6" w:name="page187"/>
    <w:bookmarkEnd w:id="18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919"/>
        <w:spacing w:after="0" w:line="282" w:lineRule="auto"/>
        <w:rPr>
          <w:sz w:val="20"/>
          <w:szCs w:val="20"/>
          <w:color w:val="auto"/>
        </w:rPr>
      </w:pPr>
      <w:r>
        <w:rPr>
          <w:rFonts w:ascii="Arial" w:cs="Arial" w:eastAsia="Arial" w:hAnsi="Arial"/>
          <w:sz w:val="14"/>
          <w:szCs w:val="14"/>
          <w:color w:val="auto"/>
        </w:rPr>
        <w:t>healthcare companies across advisory, capital raising and M&amp;A. Mr. Todd currently serves on the board of directors of cTRL Therapeutics. Mr. Todd earned his B.A. in economics at the University of California, Los Angeles.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Non-Employee Directors</w:t>
      </w:r>
    </w:p>
    <w:p>
      <w:pPr>
        <w:spacing w:after="0" w:line="84"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b w:val="1"/>
          <w:bCs w:val="1"/>
          <w:color w:val="auto"/>
        </w:rPr>
        <w:t xml:space="preserve">Jeffrey M. Leiden, M.D., Ph.D. </w:t>
      </w:r>
      <w:r>
        <w:rPr>
          <w:rFonts w:ascii="Arial" w:cs="Arial" w:eastAsia="Arial" w:hAnsi="Arial"/>
          <w:sz w:val="14"/>
          <w:szCs w:val="14"/>
          <w:color w:val="auto"/>
        </w:rPr>
        <w:t>has served as Chair of our board of directors and as a member of our board of</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directors since March 2022. Dr. Leiden has served as the Executive Chairman of Vertex Pharmaceuticals Incorporated (Nasdaq: VRTX), or Vertex, since April 2020, after serving as a director since July 2009. Dr. Leiden previously served as President, Chief Executive Officer and Chairman of Vertex from 2012 through March 2020. Prior to joining Vertex, Dr. Leiden served as Managing Director at Clarus Ventures, a life sciences venture capital firm, from 2007 to 2012 and as President, Chief Operating Officer of Abbott Laboratories from 2000 until 2005. Dr. Leiden is a physician and scientist who has dedicated his career to improving the lives of people with serious diseases. While at Abbott Laboratories, Dr. Leiden led the development and commercialization of HUMIRA</w:t>
      </w:r>
      <w:r>
        <w:rPr>
          <w:rFonts w:ascii="Arial" w:cs="Arial" w:eastAsia="Arial" w:hAnsi="Arial"/>
          <w:sz w:val="7"/>
          <w:szCs w:val="7"/>
          <w:color w:val="auto"/>
        </w:rPr>
        <w:t>®</w:t>
      </w:r>
      <w:r>
        <w:rPr>
          <w:rFonts w:ascii="Arial" w:cs="Arial" w:eastAsia="Arial" w:hAnsi="Arial"/>
          <w:sz w:val="14"/>
          <w:szCs w:val="14"/>
          <w:color w:val="auto"/>
        </w:rPr>
        <w:t xml:space="preserve"> for multiple autoimmune diseases. During his time at Vertex, the company delivered a number of leading medicines to treat the underlying cause of cystic fibrosis for patients with certain forms of the disease, including KALYDECO</w:t>
      </w:r>
      <w:r>
        <w:rPr>
          <w:rFonts w:ascii="Arial" w:cs="Arial" w:eastAsia="Arial" w:hAnsi="Arial"/>
          <w:sz w:val="7"/>
          <w:szCs w:val="7"/>
          <w:color w:val="auto"/>
        </w:rPr>
        <w:t>®</w:t>
      </w:r>
      <w:r>
        <w:rPr>
          <w:rFonts w:ascii="Arial" w:cs="Arial" w:eastAsia="Arial" w:hAnsi="Arial"/>
          <w:sz w:val="14"/>
          <w:szCs w:val="14"/>
          <w:color w:val="auto"/>
        </w:rPr>
        <w:t>, ORKAMBI</w:t>
      </w:r>
      <w:r>
        <w:rPr>
          <w:rFonts w:ascii="Arial" w:cs="Arial" w:eastAsia="Arial" w:hAnsi="Arial"/>
          <w:sz w:val="7"/>
          <w:szCs w:val="7"/>
          <w:color w:val="auto"/>
        </w:rPr>
        <w:t>®</w:t>
      </w:r>
      <w:r>
        <w:rPr>
          <w:rFonts w:ascii="Arial" w:cs="Arial" w:eastAsia="Arial" w:hAnsi="Arial"/>
          <w:sz w:val="14"/>
          <w:szCs w:val="14"/>
          <w:color w:val="auto"/>
        </w:rPr>
        <w:t>, SYMDEKO</w:t>
      </w:r>
      <w:r>
        <w:rPr>
          <w:rFonts w:ascii="Arial" w:cs="Arial" w:eastAsia="Arial" w:hAnsi="Arial"/>
          <w:sz w:val="7"/>
          <w:szCs w:val="7"/>
          <w:color w:val="auto"/>
        </w:rPr>
        <w:t>®</w:t>
      </w:r>
      <w:r>
        <w:rPr>
          <w:rFonts w:ascii="Arial" w:cs="Arial" w:eastAsia="Arial" w:hAnsi="Arial"/>
          <w:sz w:val="14"/>
          <w:szCs w:val="14"/>
          <w:color w:val="auto"/>
        </w:rPr>
        <w:t xml:space="preserve"> and TRIKAFTA</w:t>
      </w:r>
      <w:r>
        <w:rPr>
          <w:rFonts w:ascii="Arial" w:cs="Arial" w:eastAsia="Arial" w:hAnsi="Arial"/>
          <w:sz w:val="7"/>
          <w:szCs w:val="7"/>
          <w:color w:val="auto"/>
        </w:rPr>
        <w:t>®</w:t>
      </w:r>
      <w:r>
        <w:rPr>
          <w:rFonts w:ascii="Arial" w:cs="Arial" w:eastAsia="Arial" w:hAnsi="Arial"/>
          <w:sz w:val="14"/>
          <w:szCs w:val="14"/>
          <w:color w:val="auto"/>
        </w:rPr>
        <w:t>. While serving as Chief Executive Officer of Vertex, the company also built a robust pipeline of drug candidates in specialty markets, including pain, sickle cell disease and type 1 diabetes, and entered into important collaborations, like with CRISPR Therapeutics AG, which led to the discovery and development of the first CRISPR/Cas9 gene editing therapy, CASGEVY</w:t>
      </w:r>
      <w:r>
        <w:rPr>
          <w:rFonts w:ascii="Arial" w:cs="Arial" w:eastAsia="Arial" w:hAnsi="Arial"/>
          <w:sz w:val="7"/>
          <w:szCs w:val="7"/>
          <w:color w:val="auto"/>
        </w:rPr>
        <w:t>™</w:t>
      </w:r>
      <w:r>
        <w:rPr>
          <w:rFonts w:ascii="Arial" w:cs="Arial" w:eastAsia="Arial" w:hAnsi="Arial"/>
          <w:sz w:val="14"/>
          <w:szCs w:val="14"/>
          <w:color w:val="auto"/>
        </w:rPr>
        <w:t>, approved for two human genetic diseases, sickle cell disease and beta thalassemia. Dr. Leiden is the lead director of Massachusetts Mutual Life Insurance Company, and the Chairman of the Board of Casana Care, Inc. and previously served on the board of directors of Shire plc, Millennium Pharmaceuticals, Inc. and Quest Diagnostics Incorporated (NYSE: DGX). Dr. Leiden received his B.A. in biological sciences, his Ph.D. in virology and his M.D. from the University of Chicago.</w:t>
      </w:r>
    </w:p>
    <w:p>
      <w:pPr>
        <w:spacing w:after="0" w:line="65" w:lineRule="exact"/>
        <w:rPr>
          <w:sz w:val="20"/>
          <w:szCs w:val="20"/>
          <w:color w:val="auto"/>
        </w:rPr>
      </w:pPr>
    </w:p>
    <w:p>
      <w:pPr>
        <w:ind w:left="640" w:right="939" w:firstLine="443"/>
        <w:spacing w:after="0" w:line="282" w:lineRule="auto"/>
        <w:rPr>
          <w:sz w:val="20"/>
          <w:szCs w:val="20"/>
          <w:color w:val="auto"/>
        </w:rPr>
      </w:pPr>
      <w:r>
        <w:rPr>
          <w:rFonts w:ascii="Arial" w:cs="Arial" w:eastAsia="Arial" w:hAnsi="Arial"/>
          <w:sz w:val="14"/>
          <w:szCs w:val="14"/>
          <w:color w:val="auto"/>
        </w:rPr>
        <w:t>We believe Dr. Leiden is qualified to serve on our board of directors because of his deep industry and scientific experience combined with his experience leading another public biopharmaceutical company.</w:t>
      </w:r>
    </w:p>
    <w:p>
      <w:pPr>
        <w:spacing w:after="0" w:line="30"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b w:val="1"/>
          <w:bCs w:val="1"/>
          <w:color w:val="auto"/>
        </w:rPr>
        <w:t xml:space="preserve">Jill Carroll </w:t>
      </w:r>
      <w:r>
        <w:rPr>
          <w:rFonts w:ascii="Arial" w:cs="Arial" w:eastAsia="Arial" w:hAnsi="Arial"/>
          <w:sz w:val="14"/>
          <w:szCs w:val="14"/>
          <w:color w:val="auto"/>
        </w:rPr>
        <w:t>has served as a member of our board of directors since August 2021. Ms. Carroll joined SR One Ltd in</w:t>
      </w:r>
      <w:r>
        <w:rPr>
          <w:rFonts w:ascii="Arial" w:cs="Arial" w:eastAsia="Arial" w:hAnsi="Arial"/>
          <w:sz w:val="14"/>
          <w:szCs w:val="14"/>
          <w:b w:val="1"/>
          <w:bCs w:val="1"/>
          <w:color w:val="auto"/>
        </w:rPr>
        <w:t xml:space="preserve"> </w:t>
      </w:r>
      <w:r>
        <w:rPr>
          <w:rFonts w:ascii="Arial" w:cs="Arial" w:eastAsia="Arial" w:hAnsi="Arial"/>
          <w:sz w:val="14"/>
          <w:szCs w:val="14"/>
          <w:color w:val="auto"/>
        </w:rPr>
        <w:t>2011 and SR One Capital Management, LP in September 2020 with a background in biotech partnering and corporate development. Previously, Ms. Carroll completed multiple pharma partnerships and substantial private and public financings for Dynavax Technologies (Nasdaq: DVAX). Ms. Carroll was formerly a biopharmaceutical industry consultant with Clearview Projects and Mercer Management Consulting, and earlier studied Biochemistry at Johns Hopkins University and Chemistry and Duke University. Currently, Ms. Carroll is on the Board of Directors of Arcellx, Inc. (Nasdaq: ACLX), HotSpot Therapeutics, Inc., Avalyn Pharma, Inc., TBIO, LLC, Poplar Therapeutics, Inc. and AirNexis Therapeutics, Inc., and previously served on the Boards of Directors of Nkarta, Inc. (Nasdaq: NKTX) from 2017 to 2020 and Pandion Therapeutics from 2019 to 2021. Ms. Carroll received her B.S. in chemistry from Duke University and an M.S. in biochemistry, cellular and molecular biology from Johns Hopkins University.</w:t>
      </w:r>
    </w:p>
    <w:p>
      <w:pPr>
        <w:spacing w:after="0" w:line="60" w:lineRule="exact"/>
        <w:rPr>
          <w:sz w:val="20"/>
          <w:szCs w:val="20"/>
          <w:color w:val="auto"/>
        </w:rPr>
      </w:pPr>
    </w:p>
    <w:p>
      <w:pPr>
        <w:ind w:left="640" w:right="1119" w:firstLine="443"/>
        <w:spacing w:after="0" w:line="282" w:lineRule="auto"/>
        <w:rPr>
          <w:sz w:val="20"/>
          <w:szCs w:val="20"/>
          <w:color w:val="auto"/>
        </w:rPr>
      </w:pPr>
      <w:r>
        <w:rPr>
          <w:rFonts w:ascii="Arial" w:cs="Arial" w:eastAsia="Arial" w:hAnsi="Arial"/>
          <w:sz w:val="14"/>
          <w:szCs w:val="14"/>
          <w:color w:val="auto"/>
        </w:rPr>
        <w:t>We believe Ms. Carroll is qualified to serve on our board of directors because of her extensive experience in partnering and other business development transactions.</w:t>
      </w:r>
    </w:p>
    <w:p>
      <w:pPr>
        <w:spacing w:after="0" w:line="30"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b w:val="1"/>
          <w:bCs w:val="1"/>
          <w:color w:val="auto"/>
        </w:rPr>
        <w:t xml:space="preserve">Shelley Chu, M.D., Ph.D. </w:t>
      </w:r>
      <w:r>
        <w:rPr>
          <w:rFonts w:ascii="Arial" w:cs="Arial" w:eastAsia="Arial" w:hAnsi="Arial"/>
          <w:sz w:val="14"/>
          <w:szCs w:val="14"/>
          <w:color w:val="auto"/>
        </w:rPr>
        <w:t>has served as a member of our board of directors since August 2025. Since 2020, Dr.</w:t>
      </w:r>
      <w:r>
        <w:rPr>
          <w:rFonts w:ascii="Arial" w:cs="Arial" w:eastAsia="Arial" w:hAnsi="Arial"/>
          <w:sz w:val="14"/>
          <w:szCs w:val="14"/>
          <w:b w:val="1"/>
          <w:bCs w:val="1"/>
          <w:color w:val="auto"/>
        </w:rPr>
        <w:t xml:space="preserve"> </w:t>
      </w:r>
      <w:r>
        <w:rPr>
          <w:rFonts w:ascii="Arial" w:cs="Arial" w:eastAsia="Arial" w:hAnsi="Arial"/>
          <w:sz w:val="14"/>
          <w:szCs w:val="14"/>
          <w:color w:val="auto"/>
        </w:rPr>
        <w:t>Chu has been a Partner of Lightspeed Venture Partners where she leads the Biotech practice and co-heads the Healthcare Sector. She currently serves on the board of directors of Antares Therapeutics, Diagonal Therapeutics, Alpha-9 Oncology, Seismic Therapeutics, Triana Therapeutics, Enlaza Therapeutics, Protego BioPharma, and Zag Bio, and has previously served on the board of directors of private and public companies, including Scorpion Therapeutics (acquired by Eli Lilly &amp; Co.), HilleVax (Nasdaq: HLVX), Tizona Therapeutics, Inc. (acquired by Gilead Sciences, Inc.), Trishula Therapeutics (partnered with AbbVie Inc.), IFM Therapeutics, LLC (acquired by Bristol Myers Squibb), IFM Tre (acquired by Novartis AG), IFM Due (acquired by Novartis AG), IFM Quattro, and SFJ Pharmaceuticals. Dr. Chu also led R&amp;D strategy across all therapeutic areas as well as business development in immuno-oncology and HBV at Gilead during the launch of their cure for HCV. Dr. Chu holds an M.D. and a Ph.D. in Biochemistry and Biophysics from the University of California at San Francisco and a B.A. in Molecular Biology from Princeton University, where she serves as Co-Chair for Princeton ASC. She is also a member of the Scientific Advisory Board for BioCentury.</w:t>
      </w:r>
    </w:p>
    <w:p>
      <w:pPr>
        <w:spacing w:after="0" w:line="55" w:lineRule="exact"/>
        <w:rPr>
          <w:sz w:val="20"/>
          <w:szCs w:val="20"/>
          <w:color w:val="auto"/>
        </w:rPr>
      </w:pPr>
    </w:p>
    <w:p>
      <w:pPr>
        <w:ind w:left="640" w:right="979" w:firstLine="443"/>
        <w:spacing w:after="0" w:line="282" w:lineRule="auto"/>
        <w:rPr>
          <w:sz w:val="20"/>
          <w:szCs w:val="20"/>
          <w:color w:val="auto"/>
        </w:rPr>
      </w:pPr>
      <w:r>
        <w:rPr>
          <w:rFonts w:ascii="Arial" w:cs="Arial" w:eastAsia="Arial" w:hAnsi="Arial"/>
          <w:sz w:val="14"/>
          <w:szCs w:val="14"/>
          <w:color w:val="auto"/>
        </w:rPr>
        <w:t>We believe Dr. Chu is qualified to serve on our board of directors because of her investment experience in the biopharmaceutical industry as well as her experience on numerous public and private company boards of directors.</w:t>
      </w:r>
    </w:p>
    <w:p>
      <w:pPr>
        <w:spacing w:after="0" w:line="30"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b w:val="1"/>
          <w:bCs w:val="1"/>
          <w:color w:val="auto"/>
        </w:rPr>
        <w:t xml:space="preserve">Carl L. Gordon, Ph.D., CFA </w:t>
      </w:r>
      <w:r>
        <w:rPr>
          <w:rFonts w:ascii="Arial" w:cs="Arial" w:eastAsia="Arial" w:hAnsi="Arial"/>
          <w:sz w:val="14"/>
          <w:szCs w:val="14"/>
          <w:color w:val="auto"/>
        </w:rPr>
        <w:t>has served as a member of our board of directors since August 2021. Dr. Gordon is a</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Partner at OrbiMed Advisors LLC, an investment firm. Dr. Gordon currently serves on the boards of directors of Compass Therapeutics Inc. (Nasdaq: CMPX), Keros Therapeutics, Inc. (Nasdaq: KROS) and Lomond Therapeutics Holdings, Inc. (trading on OTC), as well as several private companies. Dr. Gordon previously served on the boards of directors of several publicly-traded companies, including Adicet Bio, Inc. (Nasdaq: ACET) from August 2015 to April 2025, ArriVent Biopharma, Inc. (Nasdaq: AVBP) from December 2022 to June 2025, Gemini Therapeutics, Inc. (which merged with Disc Medicine, Inc. (Nasdaq: IRON)) from April 2016 to December 2022, Kinnate Biopharma, Inc. (Nasdaq: KNTE) from December 2019 to April 2024, MBX Biosciences. Inc. (Nasdaq: MBX) from July 2020 to June 2025, ORIC Pharmaceuticals, Inc. (Nasdaq: ORIC) from November 2015 to November 2021, Terns Pharmaceuticals, Inc. (Nasdaq:</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7" w:name="page188"/>
    <w:bookmarkEnd w:id="18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spacing w:after="0" w:line="261" w:lineRule="auto"/>
        <w:rPr>
          <w:sz w:val="20"/>
          <w:szCs w:val="20"/>
          <w:color w:val="auto"/>
        </w:rPr>
      </w:pPr>
      <w:r>
        <w:rPr>
          <w:rFonts w:ascii="Arial" w:cs="Arial" w:eastAsia="Arial" w:hAnsi="Arial"/>
          <w:sz w:val="14"/>
          <w:szCs w:val="14"/>
          <w:color w:val="auto"/>
        </w:rPr>
        <w:t>TERN) from October 2018 to February 2025 and Theseus Pharmaceuticals, Inc. (Nasdaq: THRX) from June 2018 to February 2024. Dr. Gordon received his B.A. in Chemistry from Harvard College, his Ph.D. in Molecular Biology from the Massachusetts Institute of Technology, and was a Fellow at The Rockefeller University.</w:t>
      </w:r>
    </w:p>
    <w:p>
      <w:pPr>
        <w:spacing w:after="0" w:line="44" w:lineRule="exact"/>
        <w:rPr>
          <w:sz w:val="20"/>
          <w:szCs w:val="20"/>
          <w:color w:val="auto"/>
        </w:rPr>
      </w:pPr>
    </w:p>
    <w:p>
      <w:pPr>
        <w:ind w:left="640" w:right="919" w:firstLine="438"/>
        <w:spacing w:after="0" w:line="282" w:lineRule="auto"/>
        <w:rPr>
          <w:sz w:val="20"/>
          <w:szCs w:val="20"/>
          <w:color w:val="auto"/>
        </w:rPr>
      </w:pPr>
      <w:r>
        <w:rPr>
          <w:rFonts w:ascii="Arial" w:cs="Arial" w:eastAsia="Arial" w:hAnsi="Arial"/>
          <w:sz w:val="14"/>
          <w:szCs w:val="14"/>
          <w:color w:val="auto"/>
        </w:rPr>
        <w:t>We believe Dr. Gordon is qualified to serve on our board of directors because of his venture capital experience, expertise in the scientific field of molecular biology and financial credentials.</w:t>
      </w:r>
    </w:p>
    <w:p>
      <w:pPr>
        <w:spacing w:after="0" w:line="30"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b w:val="1"/>
          <w:bCs w:val="1"/>
          <w:color w:val="auto"/>
        </w:rPr>
        <w:t xml:space="preserve">Paulina Hill, Ph.D. </w:t>
      </w:r>
      <w:r>
        <w:rPr>
          <w:rFonts w:ascii="Arial" w:cs="Arial" w:eastAsia="Arial" w:hAnsi="Arial"/>
          <w:sz w:val="14"/>
          <w:szCs w:val="14"/>
          <w:color w:val="auto"/>
        </w:rPr>
        <w:t>has served as a member of our board of directors since June 2025. Since April 2022, Dr. Hill</w:t>
      </w:r>
      <w:r>
        <w:rPr>
          <w:rFonts w:ascii="Arial" w:cs="Arial" w:eastAsia="Arial" w:hAnsi="Arial"/>
          <w:sz w:val="14"/>
          <w:szCs w:val="14"/>
          <w:b w:val="1"/>
          <w:bCs w:val="1"/>
          <w:color w:val="auto"/>
        </w:rPr>
        <w:t xml:space="preserve"> </w:t>
      </w:r>
      <w:r>
        <w:rPr>
          <w:rFonts w:ascii="Arial" w:cs="Arial" w:eastAsia="Arial" w:hAnsi="Arial"/>
          <w:sz w:val="14"/>
          <w:szCs w:val="14"/>
          <w:color w:val="auto"/>
        </w:rPr>
        <w:t>has served as a Partner at Sanofi Ventures. Prior to joining Sanofi, Dr. Hill was a Principal on the investment team at Omega Funds from January 2019 to December 2021. While there she incubated and served as the founding investor for Scorpion Therapeutics (acquired by Eli Lilly), and her investments included Arrakis Therapeutics, IFM Therapeutics, Synthekine and Vanqua Bio. Dr. Hill began her career with Polaris Partners, where she was on the investment team from January 2012 to October 2018. Dr. Hill currently serves on the boards of directors of several private companies including Avilar Therapeutics, Inc., NextPoint Therapeutics, Inc., Nuvig Therapeutics, Inc. and Tisento Therapeutics, Inc., and previously served on the board of directors of Normunity, Inc. She completed her postdoctoral fellowship in Robert Langer’s lab in the Chemical Engineering Department at the Massachusetts Institute of Technology. Dr. Hill completed her Ph.D. in Molecular Medicine from Wake Forest University School of Medicine and graduated magna cum laude from East Carolina University with a quadruple major in biochemistry, neuroscience, biology and chemistry.</w:t>
      </w:r>
    </w:p>
    <w:p>
      <w:pPr>
        <w:spacing w:after="0" w:line="57" w:lineRule="exact"/>
        <w:rPr>
          <w:sz w:val="20"/>
          <w:szCs w:val="20"/>
          <w:color w:val="auto"/>
        </w:rPr>
      </w:pPr>
    </w:p>
    <w:p>
      <w:pPr>
        <w:ind w:left="640" w:right="1159" w:firstLine="443"/>
        <w:spacing w:after="0" w:line="282" w:lineRule="auto"/>
        <w:rPr>
          <w:sz w:val="20"/>
          <w:szCs w:val="20"/>
          <w:color w:val="auto"/>
        </w:rPr>
      </w:pPr>
      <w:r>
        <w:rPr>
          <w:rFonts w:ascii="Arial" w:cs="Arial" w:eastAsia="Arial" w:hAnsi="Arial"/>
          <w:sz w:val="14"/>
          <w:szCs w:val="14"/>
          <w:color w:val="auto"/>
        </w:rPr>
        <w:t>We believe Dr. Hill is qualified to serve on our board of directors because of her investment experience and experience serving on the boards of directors of other life sciences companies.</w:t>
      </w:r>
    </w:p>
    <w:p>
      <w:pPr>
        <w:spacing w:after="0" w:line="30" w:lineRule="exact"/>
        <w:rPr>
          <w:sz w:val="20"/>
          <w:szCs w:val="20"/>
          <w:color w:val="auto"/>
        </w:rPr>
      </w:pPr>
    </w:p>
    <w:p>
      <w:pPr>
        <w:ind w:left="640" w:right="699" w:firstLine="443"/>
        <w:spacing w:after="0" w:line="243" w:lineRule="auto"/>
        <w:rPr>
          <w:sz w:val="20"/>
          <w:szCs w:val="20"/>
          <w:color w:val="auto"/>
        </w:rPr>
      </w:pPr>
      <w:r>
        <w:rPr>
          <w:rFonts w:ascii="Arial" w:cs="Arial" w:eastAsia="Arial" w:hAnsi="Arial"/>
          <w:sz w:val="14"/>
          <w:szCs w:val="14"/>
          <w:b w:val="1"/>
          <w:bCs w:val="1"/>
          <w:color w:val="auto"/>
        </w:rPr>
        <w:t xml:space="preserve">Nan Li </w:t>
      </w:r>
      <w:r>
        <w:rPr>
          <w:rFonts w:ascii="Arial" w:cs="Arial" w:eastAsia="Arial" w:hAnsi="Arial"/>
          <w:sz w:val="14"/>
          <w:szCs w:val="14"/>
          <w:color w:val="auto"/>
        </w:rPr>
        <w:t>has served as a member of our board of directors since June 2025. Mr. Li has served as Co-Founder and</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Partner of Dimension Capital since April 2022, a multistage investment firm at the interface of technology and life science. Dimension partners with visionary founders working across therapeutics, diagnostics, software applications, automation systems and tech-enabled services. Mr. Li is interested in the development of cutting-edge technologies including computer vision, AI/ML, NLP, robotics and automation systems. Prior to founding Dimension Capital, Mr. Li was a Managing Director at Obvious Ventures from March 2015 to April 2022, where he worked with companies developing frontier technologies from early company formation through public markets. This includes Automata Technologies, Aspect Biosystems Ltd., Dexterity, Inc., Dyno Therapeutics, Inc., Iterative Scopes, Inc. d/b/a Iterative Health, Planet Labs PBC (NYSE: PL), Recursion Pharma (Nasdaq: RXRX) and SwiftScale Biologics. Mr. Li currently serves on the boards of directors of Aspect Biosystems Ltd., Automata Technologies, Fiveonefour Labs Inc. and Tamarind Bio, Inc. In addition, Mr. Li previously served on the boards of directors of Anagenix Ltd., Darwin Inc., Dexterity, Inc., Gandeeva Therapeutics, Inc., Inato, Inc., Iterative Scopes, Inc. d/b/a Iterative Health, LabGenius Therapeutics, Octave Health Group Inc. and The Aifleet Inc. Mr. Li holds a BSE in Computer Science from the University of Michigan. He has also been a Lecturer at Stanford University on artificial intelligence and venture capital.</w:t>
      </w:r>
    </w:p>
    <w:p>
      <w:pPr>
        <w:spacing w:after="0" w:line="59" w:lineRule="exact"/>
        <w:rPr>
          <w:sz w:val="20"/>
          <w:szCs w:val="20"/>
          <w:color w:val="auto"/>
        </w:rPr>
      </w:pPr>
    </w:p>
    <w:p>
      <w:pPr>
        <w:ind w:left="640" w:right="1099" w:firstLine="443"/>
        <w:spacing w:after="0" w:line="261" w:lineRule="auto"/>
        <w:rPr>
          <w:sz w:val="20"/>
          <w:szCs w:val="20"/>
          <w:color w:val="auto"/>
        </w:rPr>
      </w:pPr>
      <w:r>
        <w:rPr>
          <w:rFonts w:ascii="Arial" w:cs="Arial" w:eastAsia="Arial" w:hAnsi="Arial"/>
          <w:sz w:val="14"/>
          <w:szCs w:val="14"/>
          <w:color w:val="auto"/>
        </w:rPr>
        <w:t>We believe Mr. Li is qualified to serve on our board of directors because of his venture capital experience, experience with developing cutting-edge technologies including artificial intelligence and experience as a director of numerous private companies.</w:t>
      </w:r>
    </w:p>
    <w:p>
      <w:pPr>
        <w:spacing w:after="0" w:line="44" w:lineRule="exact"/>
        <w:rPr>
          <w:sz w:val="20"/>
          <w:szCs w:val="20"/>
          <w:color w:val="auto"/>
        </w:rPr>
      </w:pPr>
    </w:p>
    <w:p>
      <w:pPr>
        <w:ind w:left="640" w:right="679" w:firstLine="443"/>
        <w:spacing w:after="0" w:line="243" w:lineRule="auto"/>
        <w:rPr>
          <w:sz w:val="20"/>
          <w:szCs w:val="20"/>
          <w:color w:val="auto"/>
        </w:rPr>
      </w:pPr>
      <w:r>
        <w:rPr>
          <w:rFonts w:ascii="Arial" w:cs="Arial" w:eastAsia="Arial" w:hAnsi="Arial"/>
          <w:sz w:val="14"/>
          <w:szCs w:val="14"/>
          <w:b w:val="1"/>
          <w:bCs w:val="1"/>
          <w:color w:val="auto"/>
        </w:rPr>
        <w:t xml:space="preserve">Carolyn Ng, Ph.D. </w:t>
      </w:r>
      <w:r>
        <w:rPr>
          <w:rFonts w:ascii="Arial" w:cs="Arial" w:eastAsia="Arial" w:hAnsi="Arial"/>
          <w:sz w:val="14"/>
          <w:szCs w:val="14"/>
          <w:color w:val="auto"/>
        </w:rPr>
        <w:t>has served as a member of our board of directors since July 2025. Dr. Ng is a Business Unit</w:t>
      </w:r>
      <w:r>
        <w:rPr>
          <w:rFonts w:ascii="Arial" w:cs="Arial" w:eastAsia="Arial" w:hAnsi="Arial"/>
          <w:sz w:val="14"/>
          <w:szCs w:val="14"/>
          <w:b w:val="1"/>
          <w:bCs w:val="1"/>
          <w:color w:val="auto"/>
        </w:rPr>
        <w:t xml:space="preserve"> </w:t>
      </w:r>
      <w:r>
        <w:rPr>
          <w:rFonts w:ascii="Arial" w:cs="Arial" w:eastAsia="Arial" w:hAnsi="Arial"/>
          <w:sz w:val="14"/>
          <w:szCs w:val="14"/>
          <w:color w:val="auto"/>
        </w:rPr>
        <w:t>Partner at TPG Global, LLC, a leading global alternative asset manager, where she leads investments in transformative early- to mid-stage companies across a range of therapeutic areas. Dr. Ng currently serves on the boards of directors for Bicara Therapeutics Inc. (Nasdaq: BCAX) since December 2023, Mbrace Therapeutics, Inc. since April 2023 and Adcendo ApS since November 2024. Before joining TPG in October 2021, Dr. Ng was a Managing Director at Vertex Ventures HC, a global healthcare and life sciences venture fund, where she co-led the investment team. Dr. Ng has previously served on the boards of directors for several other life sciences companies, including Boundless Bio, Inc. (Nasdaq: BOLD) from June 2019 to September 2021, Obsidian Therapeutics, Inc. from December 2017 to September 2021, Redona Therapeutics, Inc. (formerly, 28-7 Therapeutics) from 2017 to 2021 and Nuvaira, Inc. from 2017 to 2021, and served as a board observer for Visterra (acquired by Otsuka Pharmaceutical Co, Ltd.). Dr. Ng holds a Ph.D. in Cancer Molecular Biology from the National University of Singapore, where she was the recipient of the prestigious NGS, Integrative Sciences and Technology, Ph.D. scholarship and holds a B.S. degree in Pharmacy with first class honors from the National University of Singapore.</w:t>
      </w:r>
    </w:p>
    <w:p>
      <w:pPr>
        <w:spacing w:after="0" w:line="224" w:lineRule="exact"/>
        <w:rPr>
          <w:sz w:val="20"/>
          <w:szCs w:val="20"/>
          <w:color w:val="auto"/>
        </w:rPr>
      </w:pPr>
    </w:p>
    <w:p>
      <w:pPr>
        <w:ind w:left="640" w:right="819" w:firstLine="443"/>
        <w:spacing w:after="0" w:line="282" w:lineRule="auto"/>
        <w:rPr>
          <w:sz w:val="20"/>
          <w:szCs w:val="20"/>
          <w:color w:val="auto"/>
        </w:rPr>
      </w:pPr>
      <w:r>
        <w:rPr>
          <w:rFonts w:ascii="Arial" w:cs="Arial" w:eastAsia="Arial" w:hAnsi="Arial"/>
          <w:sz w:val="14"/>
          <w:szCs w:val="14"/>
          <w:color w:val="auto"/>
        </w:rPr>
        <w:t>We believe Dr. Ng is qualified to serve on our board of directors because of her venture capital experience with early-to mid-stage life sciences companies and her experience as a director of numerous public and private companies.</w:t>
      </w:r>
    </w:p>
    <w:p>
      <w:pPr>
        <w:spacing w:after="0" w:line="30"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b w:val="1"/>
          <w:bCs w:val="1"/>
          <w:color w:val="auto"/>
        </w:rPr>
        <w:t xml:space="preserve">Valerie Odegard, Ph.D. </w:t>
      </w:r>
      <w:r>
        <w:rPr>
          <w:rFonts w:ascii="Arial" w:cs="Arial" w:eastAsia="Arial" w:hAnsi="Arial"/>
          <w:sz w:val="14"/>
          <w:szCs w:val="14"/>
          <w:color w:val="auto"/>
        </w:rPr>
        <w:t>has served as a member of our board of directors since October 2021. Dr. Odegard has</w:t>
      </w:r>
      <w:r>
        <w:rPr>
          <w:rFonts w:ascii="Arial" w:cs="Arial" w:eastAsia="Arial" w:hAnsi="Arial"/>
          <w:sz w:val="14"/>
          <w:szCs w:val="14"/>
          <w:b w:val="1"/>
          <w:bCs w:val="1"/>
          <w:color w:val="auto"/>
        </w:rPr>
        <w:t xml:space="preserve"> </w:t>
      </w:r>
      <w:r>
        <w:rPr>
          <w:rFonts w:ascii="Arial" w:cs="Arial" w:eastAsia="Arial" w:hAnsi="Arial"/>
          <w:sz w:val="14"/>
          <w:szCs w:val="14"/>
          <w:color w:val="auto"/>
        </w:rPr>
        <w:t>been involved in the discovery and development of drugs for autoimmune diseases and oncology for over 20 years. Dr. Odegard has served as the Chief Executive Officer of Dovetail Therapeutics, Inc. since October 2023 and as a director since May 2023. From October 2016 until September 2022, Dr. Odegard served in various roles with Silverback Therapeutics, Inc., including as Chief Scientific Officer starting in October 2018 and President starting in September 2020. Since October 2022, Dr. Odegard has also served as a venture partner at OrbiMed. Dr. Odegard holds a B.S. in biology from Wake Forest University and a Ph.D. in immunobiology from Yale University.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8" w:name="page189"/>
    <w:bookmarkEnd w:id="18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979" w:firstLine="443"/>
        <w:spacing w:after="0" w:line="282" w:lineRule="auto"/>
        <w:rPr>
          <w:sz w:val="20"/>
          <w:szCs w:val="20"/>
          <w:color w:val="auto"/>
        </w:rPr>
      </w:pPr>
      <w:r>
        <w:rPr>
          <w:rFonts w:ascii="Arial" w:cs="Arial" w:eastAsia="Arial" w:hAnsi="Arial"/>
          <w:sz w:val="14"/>
          <w:szCs w:val="14"/>
          <w:color w:val="auto"/>
        </w:rPr>
        <w:t>We believe Dr. Odegard is qualified to serve on our board of directors because of her experience leading drug development programs and her public company experience.</w:t>
      </w:r>
    </w:p>
    <w:p>
      <w:pPr>
        <w:spacing w:after="0" w:line="30" w:lineRule="exact"/>
        <w:rPr>
          <w:sz w:val="20"/>
          <w:szCs w:val="20"/>
          <w:color w:val="auto"/>
        </w:rPr>
      </w:pPr>
    </w:p>
    <w:p>
      <w:pPr>
        <w:ind w:left="640" w:right="699" w:firstLine="438"/>
        <w:spacing w:after="0" w:line="242" w:lineRule="auto"/>
        <w:rPr>
          <w:sz w:val="20"/>
          <w:szCs w:val="20"/>
          <w:color w:val="auto"/>
        </w:rPr>
      </w:pPr>
      <w:r>
        <w:rPr>
          <w:rFonts w:ascii="Arial" w:cs="Arial" w:eastAsia="Arial" w:hAnsi="Arial"/>
          <w:sz w:val="14"/>
          <w:szCs w:val="14"/>
          <w:b w:val="1"/>
          <w:bCs w:val="1"/>
          <w:color w:val="auto"/>
        </w:rPr>
        <w:t xml:space="preserve">Ksenija Pavletic </w:t>
      </w:r>
      <w:r>
        <w:rPr>
          <w:rFonts w:ascii="Arial" w:cs="Arial" w:eastAsia="Arial" w:hAnsi="Arial"/>
          <w:sz w:val="14"/>
          <w:szCs w:val="14"/>
          <w:color w:val="auto"/>
        </w:rPr>
        <w:t>has served as a member of our board of directors since August 2025. Since October 2025, Ms.</w:t>
      </w:r>
      <w:r>
        <w:rPr>
          <w:rFonts w:ascii="Arial" w:cs="Arial" w:eastAsia="Arial" w:hAnsi="Arial"/>
          <w:sz w:val="14"/>
          <w:szCs w:val="14"/>
          <w:b w:val="1"/>
          <w:bCs w:val="1"/>
          <w:color w:val="auto"/>
        </w:rPr>
        <w:t xml:space="preserve"> </w:t>
      </w:r>
      <w:r>
        <w:rPr>
          <w:rFonts w:ascii="Arial" w:cs="Arial" w:eastAsia="Arial" w:hAnsi="Arial"/>
          <w:sz w:val="14"/>
          <w:szCs w:val="14"/>
          <w:color w:val="auto"/>
        </w:rPr>
        <w:t>Pavletic has served as General Partner and Chief Commercial Officer at Jeito Capital, a leading global investment company focused on building transformative biopharma companies. She joined the investment team at Jeito as Operational Investor and Chief Commercial Officer and was promoted to Partner in 2024, then General Partner in 2025. She is a dynamic executive with more than 25 years of global experience in the pharmaceutical and biotechnology sectors. She is an expert in both investment strategies and healthcare companies scaleups with a successful track record in fund raising, M&amp;A, company scaleups, commercial organization build ups, product launches and market access. As part of Jeito’s founding team, Ms. Pavletic has significantly contributed to the firm’s development since its inception. Ms. Pavletic has also served as Chief Executive Officer of Advesya since October 2022, a pioneering and transformative biotechnology company developing therapies for difficult-to-treat cancers. Prior to joining Jeito, Ms. Pavletic was CEO of Swiss-based, reproductive health pharma company PregLem SA from July 2015 to January 2022, where she led the company’s rapid expansion including its successful exit. Before PregLem, she worked for eleven years with Serono (then Merck Serono) in various regional and global business, sales and marketing positions. Ms. Pavletic currently serves on the boards of several private companies including Azafaros B.V., Callio Therapeutics and ReproNovo. Previously, Ms. Pavletic was a director at MaxiVAX SA (now Release Therapeutics) from May 2020 to November 2024. She holds a M.Sc. in biotechnology from University of Zagreb and M.B.A. from American Graduate School of Business at Webster University.</w:t>
      </w:r>
    </w:p>
    <w:p>
      <w:pPr>
        <w:spacing w:after="0" w:line="227" w:lineRule="exact"/>
        <w:rPr>
          <w:sz w:val="20"/>
          <w:szCs w:val="20"/>
          <w:color w:val="auto"/>
        </w:rPr>
      </w:pPr>
    </w:p>
    <w:p>
      <w:pPr>
        <w:ind w:left="640" w:right="739" w:firstLine="438"/>
        <w:spacing w:after="0" w:line="282" w:lineRule="auto"/>
        <w:rPr>
          <w:sz w:val="20"/>
          <w:szCs w:val="20"/>
          <w:color w:val="auto"/>
        </w:rPr>
      </w:pPr>
      <w:r>
        <w:rPr>
          <w:rFonts w:ascii="Arial" w:cs="Arial" w:eastAsia="Arial" w:hAnsi="Arial"/>
          <w:sz w:val="14"/>
          <w:szCs w:val="14"/>
          <w:color w:val="auto"/>
        </w:rPr>
        <w:t>We believe Ms. Pavletic is qualified to serve on our board of directors because of her experience in the pharmaceutical and biotechnology industries, her business and operational expertise and her venture capital experience.</w:t>
      </w:r>
    </w:p>
    <w:p>
      <w:pPr>
        <w:spacing w:after="0" w:line="30" w:lineRule="exact"/>
        <w:rPr>
          <w:sz w:val="20"/>
          <w:szCs w:val="20"/>
          <w:color w:val="auto"/>
        </w:rPr>
      </w:pPr>
    </w:p>
    <w:p>
      <w:pPr>
        <w:ind w:left="640" w:right="659" w:firstLine="438"/>
        <w:spacing w:after="0" w:line="243" w:lineRule="auto"/>
        <w:rPr>
          <w:sz w:val="20"/>
          <w:szCs w:val="20"/>
          <w:color w:val="auto"/>
        </w:rPr>
      </w:pPr>
      <w:r>
        <w:rPr>
          <w:rFonts w:ascii="Arial" w:cs="Arial" w:eastAsia="Arial" w:hAnsi="Arial"/>
          <w:sz w:val="14"/>
          <w:szCs w:val="14"/>
          <w:b w:val="1"/>
          <w:bCs w:val="1"/>
          <w:color w:val="auto"/>
        </w:rPr>
        <w:t xml:space="preserve">Ian F. Smith </w:t>
      </w:r>
      <w:r>
        <w:rPr>
          <w:rFonts w:ascii="Arial" w:cs="Arial" w:eastAsia="Arial" w:hAnsi="Arial"/>
          <w:sz w:val="14"/>
          <w:szCs w:val="14"/>
          <w:color w:val="auto"/>
        </w:rPr>
        <w:t>has served as a member of our board of directors since August 2024 and prior to that as a consultant.</w:t>
      </w:r>
      <w:r>
        <w:rPr>
          <w:rFonts w:ascii="Arial" w:cs="Arial" w:eastAsia="Arial" w:hAnsi="Arial"/>
          <w:sz w:val="14"/>
          <w:szCs w:val="14"/>
          <w:b w:val="1"/>
          <w:bCs w:val="1"/>
          <w:color w:val="auto"/>
        </w:rPr>
        <w:t xml:space="preserve"> </w:t>
      </w:r>
      <w:r>
        <w:rPr>
          <w:rFonts w:ascii="Arial" w:cs="Arial" w:eastAsia="Arial" w:hAnsi="Arial"/>
          <w:sz w:val="14"/>
          <w:szCs w:val="14"/>
          <w:color w:val="auto"/>
        </w:rPr>
        <w:t>Mr. Smith is an experienced leader with more than 30 years of finance and operating experience</w:t>
      </w:r>
      <w:r>
        <w:rPr>
          <w:rFonts w:ascii="Arial" w:cs="Arial" w:eastAsia="Arial" w:hAnsi="Arial"/>
          <w:sz w:val="14"/>
          <w:szCs w:val="14"/>
          <w:i w:val="1"/>
          <w:iCs w:val="1"/>
          <w:color w:val="auto"/>
        </w:rPr>
        <w:t>.</w:t>
      </w:r>
      <w:r>
        <w:rPr>
          <w:rFonts w:ascii="Arial" w:cs="Arial" w:eastAsia="Arial" w:hAnsi="Arial"/>
          <w:sz w:val="14"/>
          <w:szCs w:val="14"/>
          <w:color w:val="auto"/>
        </w:rPr>
        <w:t xml:space="preserve"> Mr. Smith has served as Chief Executive Officer of Stoke Therapeutics, Inc. (Nasdaq: STOK) since October 2025 and a member of the board of directors since 2023, and previously served as Interim Chief Executive Officer from March 2025 to October 2025. In addition, Mr. Smith is the Chair of the board of directors for Rivus Pharmaceutical Inc., a position he has held since November 2023. Mr. Smith also serves as a Senior Advisor to Bain Capital Life Sciences, which position he has held since January 2021, and as Executive Chair of the board of directors of Solid Biosciences Inc. (Nasdaq: SLDB), which position he has held since June 2020. He has also served as a member of the board of directors of Foghorn Therapeutics Inc. (Nasdaq: FHTX) since April 2021. Prior to his current roles, Mr. Smith served as Executive Chair of the board of directors of Viacyte, a private biotechnology company, from July 2019 to September 2022. Mr. Smith previously served in various roles at Vertex from 2001 until January 2019, including as the Chief Financial Officer and Chief Operating Officer. Prior to joining Vertex, Mr. Smith was a partner of the accounting firm Ernst &amp; Young LLP, serving private and public companies, including biotechnology companies. Mr. Smith also serves on the boards of a number of private biotechnology companies and provides advisory services. Mr. Smith holds a B.A. with honors in accounting and finance from Manchester Metropolitan University (UK).</w:t>
      </w:r>
    </w:p>
    <w:p>
      <w:pPr>
        <w:spacing w:after="0" w:line="57" w:lineRule="exact"/>
        <w:rPr>
          <w:sz w:val="20"/>
          <w:szCs w:val="20"/>
          <w:color w:val="auto"/>
        </w:rPr>
      </w:pPr>
    </w:p>
    <w:p>
      <w:pPr>
        <w:ind w:left="640" w:right="1079" w:firstLine="438"/>
        <w:spacing w:after="0" w:line="282" w:lineRule="auto"/>
        <w:rPr>
          <w:sz w:val="20"/>
          <w:szCs w:val="20"/>
          <w:color w:val="auto"/>
        </w:rPr>
      </w:pPr>
      <w:r>
        <w:rPr>
          <w:rFonts w:ascii="Arial" w:cs="Arial" w:eastAsia="Arial" w:hAnsi="Arial"/>
          <w:sz w:val="14"/>
          <w:szCs w:val="14"/>
          <w:color w:val="auto"/>
        </w:rPr>
        <w:t>We believe Mr. Smith is qualified to serve on our board of directors due to his experience as a senior finance executive and his knowledge and experience across multiple roles for public biotechnology companies.</w:t>
      </w:r>
    </w:p>
    <w:p>
      <w:pPr>
        <w:spacing w:after="0" w:line="30" w:lineRule="exact"/>
        <w:rPr>
          <w:sz w:val="20"/>
          <w:szCs w:val="20"/>
          <w:color w:val="auto"/>
        </w:rPr>
      </w:pPr>
    </w:p>
    <w:p>
      <w:pPr>
        <w:ind w:left="640" w:right="739" w:firstLine="438"/>
        <w:spacing w:after="0" w:line="245" w:lineRule="auto"/>
        <w:rPr>
          <w:sz w:val="20"/>
          <w:szCs w:val="20"/>
          <w:color w:val="auto"/>
        </w:rPr>
      </w:pPr>
      <w:r>
        <w:rPr>
          <w:rFonts w:ascii="Arial" w:cs="Arial" w:eastAsia="Arial" w:hAnsi="Arial"/>
          <w:sz w:val="14"/>
          <w:szCs w:val="14"/>
          <w:b w:val="1"/>
          <w:bCs w:val="1"/>
          <w:color w:val="auto"/>
        </w:rPr>
        <w:t xml:space="preserve">Nia Tatsis, Ph.D. </w:t>
      </w:r>
      <w:r>
        <w:rPr>
          <w:rFonts w:ascii="Arial" w:cs="Arial" w:eastAsia="Arial" w:hAnsi="Arial"/>
          <w:sz w:val="14"/>
          <w:szCs w:val="14"/>
          <w:color w:val="auto"/>
        </w:rPr>
        <w:t>has served as a member of our board of directors since September 2025. Dr. Tatsis is currently</w:t>
      </w:r>
      <w:r>
        <w:rPr>
          <w:rFonts w:ascii="Arial" w:cs="Arial" w:eastAsia="Arial" w:hAnsi="Arial"/>
          <w:sz w:val="14"/>
          <w:szCs w:val="14"/>
          <w:b w:val="1"/>
          <w:bCs w:val="1"/>
          <w:color w:val="auto"/>
        </w:rPr>
        <w:t xml:space="preserve"> </w:t>
      </w:r>
      <w:r>
        <w:rPr>
          <w:rFonts w:ascii="Arial" w:cs="Arial" w:eastAsia="Arial" w:hAnsi="Arial"/>
          <w:sz w:val="14"/>
          <w:szCs w:val="14"/>
          <w:color w:val="auto"/>
        </w:rPr>
        <w:t>the Executive Vice President, Chief Regulatory and Quality Officer of Vertex. She joined Vertex in 2017 as Head of Regulatory and was appointed as Chief Regulatory and Quality Officer in 2020. Prior to joining Vertex, Dr. Tatsis held positions of increasing responsibility at pharmaceutical companies including Sanofi, Pfizer, and Wyeth. Dr. Tatsis has served as a member of the board of directors of Verve Therapeutics, Inc. from 2024 to 2025 and as a member of the leadership council of the International Institute of New England. Previously, she served as a staff scientist and research fellow in immunology and vaccine development at the Wistar Institute. Dr. Tatsis received her Ph.D. in cell and molecular biology from the University of Vermont and completed a postdoctoral research fellowship in immunology at Thomas Jefferson University. She holds a B.S. in biology from Temple University.</w:t>
      </w:r>
    </w:p>
    <w:p>
      <w:pPr>
        <w:spacing w:after="0" w:line="57" w:lineRule="exact"/>
        <w:rPr>
          <w:sz w:val="20"/>
          <w:szCs w:val="20"/>
          <w:color w:val="auto"/>
        </w:rPr>
      </w:pPr>
    </w:p>
    <w:p>
      <w:pPr>
        <w:ind w:left="640" w:right="659" w:firstLine="438"/>
        <w:spacing w:after="0" w:line="282" w:lineRule="auto"/>
        <w:rPr>
          <w:sz w:val="20"/>
          <w:szCs w:val="20"/>
          <w:color w:val="auto"/>
        </w:rPr>
      </w:pPr>
      <w:r>
        <w:rPr>
          <w:rFonts w:ascii="Arial" w:cs="Arial" w:eastAsia="Arial" w:hAnsi="Arial"/>
          <w:sz w:val="14"/>
          <w:szCs w:val="14"/>
          <w:color w:val="auto"/>
        </w:rPr>
        <w:t>We believe Dr. Tatsis is qualified to serve on our board of directors because of her experience as a chief regulatory and quality officer for a biopharmaceutical company and her experience in the biotechnology industry.</w:t>
      </w:r>
    </w:p>
    <w:p>
      <w:pPr>
        <w:spacing w:after="0" w:line="30" w:lineRule="exact"/>
        <w:rPr>
          <w:sz w:val="20"/>
          <w:szCs w:val="20"/>
          <w:color w:val="auto"/>
        </w:rPr>
      </w:pPr>
    </w:p>
    <w:p>
      <w:pPr>
        <w:ind w:left="640" w:right="679" w:firstLine="438"/>
        <w:spacing w:after="0" w:line="247" w:lineRule="auto"/>
        <w:rPr>
          <w:sz w:val="20"/>
          <w:szCs w:val="20"/>
          <w:color w:val="auto"/>
        </w:rPr>
      </w:pPr>
      <w:r>
        <w:rPr>
          <w:rFonts w:ascii="Arial" w:cs="Arial" w:eastAsia="Arial" w:hAnsi="Arial"/>
          <w:sz w:val="14"/>
          <w:szCs w:val="14"/>
          <w:b w:val="1"/>
          <w:bCs w:val="1"/>
          <w:color w:val="auto"/>
        </w:rPr>
        <w:t xml:space="preserve">Timothy P. Walbert </w:t>
      </w:r>
      <w:r>
        <w:rPr>
          <w:rFonts w:ascii="Arial" w:cs="Arial" w:eastAsia="Arial" w:hAnsi="Arial"/>
          <w:sz w:val="14"/>
          <w:szCs w:val="14"/>
          <w:color w:val="auto"/>
        </w:rPr>
        <w:t>has served as a member of our board of directors since June 2024. He is currently a senior</w:t>
      </w:r>
      <w:r>
        <w:rPr>
          <w:rFonts w:ascii="Arial" w:cs="Arial" w:eastAsia="Arial" w:hAnsi="Arial"/>
          <w:sz w:val="14"/>
          <w:szCs w:val="14"/>
          <w:b w:val="1"/>
          <w:bCs w:val="1"/>
          <w:color w:val="auto"/>
        </w:rPr>
        <w:t xml:space="preserve"> </w:t>
      </w:r>
      <w:r>
        <w:rPr>
          <w:rFonts w:ascii="Arial" w:cs="Arial" w:eastAsia="Arial" w:hAnsi="Arial"/>
          <w:sz w:val="14"/>
          <w:szCs w:val="14"/>
          <w:color w:val="auto"/>
        </w:rPr>
        <w:t>advisor to Amgen Inc. Mr. Walbert was Chairman, President and Chief Executive Officer of the then public company Horizon Therapeutics, a biotechnology company, from June 2008 to October 2023, when it was acquired by Amgen for $28 billion. Before joining Horizon, he was President, Chief Executive Officer and director of IDM Pharma Inc., a public biotechnology company, which was acquired by Takeda Pharmaceutical Company Limited in June 2009. Before IDM, Mr. Walbert served as Executive Vice President, Commercial Operations, at NeoPharm Inc., a public biotechnology company. From 2001 to 2005, he was Divisional Vice President and General Manager, immunology, at Abbott Laboratories, now</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9" w:name="page190"/>
    <w:bookmarkEnd w:id="18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spacing w:after="0" w:line="244" w:lineRule="auto"/>
        <w:rPr>
          <w:sz w:val="20"/>
          <w:szCs w:val="20"/>
          <w:color w:val="auto"/>
        </w:rPr>
      </w:pPr>
      <w:r>
        <w:rPr>
          <w:rFonts w:ascii="Arial" w:cs="Arial" w:eastAsia="Arial" w:hAnsi="Arial"/>
          <w:sz w:val="14"/>
          <w:szCs w:val="14"/>
          <w:color w:val="auto"/>
        </w:rPr>
        <w:t>AbbVie Inc., leading the global development and launch of the multi-indication biologic HUMIRA</w:t>
      </w:r>
      <w:r>
        <w:rPr>
          <w:rFonts w:ascii="Arial" w:cs="Arial" w:eastAsia="Arial" w:hAnsi="Arial"/>
          <w:sz w:val="7"/>
          <w:szCs w:val="7"/>
          <w:color w:val="auto"/>
        </w:rPr>
        <w:t>®</w:t>
      </w:r>
      <w:r>
        <w:rPr>
          <w:rFonts w:ascii="Arial" w:cs="Arial" w:eastAsia="Arial" w:hAnsi="Arial"/>
          <w:sz w:val="14"/>
          <w:szCs w:val="14"/>
          <w:color w:val="auto"/>
        </w:rPr>
        <w:t>, and served as Divisional Vice President, Global Cardiovascular Strategy. Mr. Walbert serves on the board of directors of BioMarin Pharmaceutical Inc. (Nasdaq: BMRN), Century Therapeutics, Inc. (Nasdaq: IPSC), Mirum Pharmaceuticals, Inc. (Nasdaq: MIRM), Sagimet Biosciences Inc. (Nasdaq: SGMT), Catalent, Inc., Cour Pharmaceuticals, Crystalys Therapeutics Inc. and Latigo Biotherapeutics. He is also chairman of Latigo Biotherapeutics. He previously served on the board of directors of Aurinia Pharmaceuticals Inc. (Nasdaq: AUPH) from 2020 to 2022, Exicure, Inc. (Nasdaq: XCUR) from 2019 to 2022, Assertio Therapeutics, Inc. (Nasdaq: ASRT) from 2014 to 2020, Raptor Pharmaceutical Corp. (Nasdaq: RPTP) from 2011 to 2014, XOMA Corporation (Nasdaq: XOMA) from 2010 to 2017 and Sucampo Pharmaceuticals Inc. (Nasdaq: SCMP) from 2015 until 2018. Mr. Walbert received a Bachelor of Arts in business administration from Muhlenberg College in Allentown, Pennsylvania.</w:t>
      </w:r>
    </w:p>
    <w:p>
      <w:pPr>
        <w:spacing w:after="0" w:line="60" w:lineRule="exact"/>
        <w:rPr>
          <w:sz w:val="20"/>
          <w:szCs w:val="20"/>
          <w:color w:val="auto"/>
        </w:rPr>
      </w:pPr>
    </w:p>
    <w:p>
      <w:pPr>
        <w:ind w:left="640" w:right="799" w:firstLine="438"/>
        <w:spacing w:after="0" w:line="282" w:lineRule="auto"/>
        <w:rPr>
          <w:sz w:val="20"/>
          <w:szCs w:val="20"/>
          <w:color w:val="auto"/>
        </w:rPr>
      </w:pPr>
      <w:r>
        <w:rPr>
          <w:rFonts w:ascii="Arial" w:cs="Arial" w:eastAsia="Arial" w:hAnsi="Arial"/>
          <w:sz w:val="14"/>
          <w:szCs w:val="14"/>
          <w:color w:val="auto"/>
        </w:rPr>
        <w:t>We believe Mr. Walbert is qualified to serve on our board of directors due to his leadership experience at a public company and public company board experience in the biopharmaceutical industry.</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Board Composition</w:t>
      </w:r>
    </w:p>
    <w:p>
      <w:pPr>
        <w:spacing w:after="0" w:line="86" w:lineRule="exact"/>
        <w:rPr>
          <w:sz w:val="20"/>
          <w:szCs w:val="20"/>
          <w:color w:val="auto"/>
        </w:rPr>
      </w:pPr>
    </w:p>
    <w:p>
      <w:pPr>
        <w:ind w:left="640" w:right="819" w:firstLine="438"/>
        <w:spacing w:after="0" w:line="250" w:lineRule="auto"/>
        <w:rPr>
          <w:sz w:val="20"/>
          <w:szCs w:val="20"/>
          <w:color w:val="auto"/>
        </w:rPr>
      </w:pPr>
      <w:r>
        <w:rPr>
          <w:rFonts w:ascii="Arial" w:cs="Arial" w:eastAsia="Arial" w:hAnsi="Arial"/>
          <w:sz w:val="14"/>
          <w:szCs w:val="14"/>
          <w:color w:val="auto"/>
        </w:rPr>
        <w:t>Our Bylaws, which will become effective immediately prior to the completion of this offering, provide that the number of directors that shall constitute the whole board of directors shall be determined by resolution of our board of directors. Our board of directors currently consists of thirteen members: Gary D. Glick, Ph.D., Jeffrey M. Leiden, M.D., Ph.D., Shelley Chu, M.D., Ph.D., Jill Carroll, Carl L. Gordon, Ph.D., CFA, Paulina Hill, Ph.D., Nan Li, Carolyn Ng, Ph.D., Ian F. Smith, Valerie Odegard, Ph.D., Ksenija Pavletic, Nia Tatsis, Ph.D. and Timothy P. Walbert.</w:t>
      </w:r>
    </w:p>
    <w:p>
      <w:pPr>
        <w:spacing w:after="0" w:line="53" w:lineRule="exact"/>
        <w:rPr>
          <w:sz w:val="20"/>
          <w:szCs w:val="20"/>
          <w:color w:val="auto"/>
        </w:rPr>
      </w:pPr>
    </w:p>
    <w:p>
      <w:pPr>
        <w:ind w:left="640" w:right="659" w:firstLine="438"/>
        <w:spacing w:after="0" w:line="242" w:lineRule="auto"/>
        <w:rPr>
          <w:sz w:val="20"/>
          <w:szCs w:val="20"/>
          <w:color w:val="auto"/>
        </w:rPr>
      </w:pPr>
      <w:r>
        <w:rPr>
          <w:rFonts w:ascii="Arial" w:cs="Arial" w:eastAsia="Arial" w:hAnsi="Arial"/>
          <w:sz w:val="14"/>
          <w:szCs w:val="14"/>
          <w:color w:val="auto"/>
        </w:rPr>
        <w:t>Certain members of our board of directors were elected pursuant to the provisions of our Third A&amp;R Voting Agreement (as defined below), which will terminate upon the closing of this offering. Under the terms and subject to the conditions of the Third A&amp;R Voting Agreement, the stockholders who are party to the Third A&amp;R Voting Agreement have agreed to vote their respective shares to elect: (i) one director designated by OrbiMed Private Investments VIII, LP, currently Dr. Gordon; (ii) one director designated by SR One Capital Fund I Aggregator, LP, SR One Co-Invest IV, LLC, SR One Co-Invest IV-A, LLC and AMZL, LP, currently Ms. Carroll; (iii) one director designated by Dimension Capital II, L.P., currently Mr. Li; (iv) one director designated by Sanofi Ventures LLC, currently Dr. Hill; (v) one director designated by Lightspeed Venture Partners XV-B (Ignite), L.P., currently Dr. Chu; (vi) one director designated by Jeito II S.L.P., currently Ms. Pavletic; (vii) one director designated by TPG LSI Rise Orazio, L.P., currently Dr. Ng; (viii) our Chief Executive Officer, currently Dr. Glick; (ix) one director who is not otherwise affiliated with us or any stockholder, currently Dr. Odegard; and</w:t>
      </w:r>
    </w:p>
    <w:p>
      <w:pPr>
        <w:spacing w:after="0" w:line="2" w:lineRule="exact"/>
        <w:rPr>
          <w:sz w:val="20"/>
          <w:szCs w:val="20"/>
          <w:color w:val="auto"/>
        </w:rPr>
      </w:pPr>
    </w:p>
    <w:p>
      <w:pPr>
        <w:ind w:left="640" w:right="699" w:hanging="2"/>
        <w:spacing w:after="0" w:line="242" w:lineRule="auto"/>
        <w:tabs>
          <w:tab w:leader="none" w:pos="847" w:val="left"/>
        </w:tabs>
        <w:numPr>
          <w:ilvl w:val="0"/>
          <w:numId w:val="70"/>
        </w:numPr>
        <w:rPr>
          <w:rFonts w:ascii="Arial" w:cs="Arial" w:eastAsia="Arial" w:hAnsi="Arial"/>
          <w:sz w:val="14"/>
          <w:szCs w:val="14"/>
          <w:color w:val="auto"/>
        </w:rPr>
      </w:pPr>
      <w:r>
        <w:rPr>
          <w:rFonts w:ascii="Arial" w:cs="Arial" w:eastAsia="Arial" w:hAnsi="Arial"/>
          <w:sz w:val="14"/>
          <w:szCs w:val="14"/>
          <w:color w:val="auto"/>
        </w:rPr>
        <w:t>one director who is not otherwise affiliated with us or any stockholder, and is mutually acceptable to the other members of our board of directors elected pursuant to a vote of the various classes of convertible preferred stock, subject to the approval of General Catalyst Group XI – Endurance, L.P., currently Dr. Leiden. The Third A&amp;R Voting Agreement will terminate upon the closing of this offering, at which point no stockholder will have any special rights regarding the election or designation of the members of our board of directors, and the provisions of our current amended and restated certificate of incorporation, as amended, by which our directors were elected, will be amended and restated in connection with this offering. After this offering, the number of directors will be fixed by our board of directors, subject to the terms of our Certificate of Incorporation and our Bylaws that will become effective immediately prior to the closing of this offering. Our current directors elected to our board of directors pursuant to the Third A&amp;R Voting Agreement will continue to serve as directors until their successors are duly elected and qualified, or until their earlier resignation or removal.</w:t>
      </w:r>
    </w:p>
    <w:p>
      <w:pPr>
        <w:spacing w:after="0" w:line="59" w:lineRule="exact"/>
        <w:rPr>
          <w:sz w:val="20"/>
          <w:szCs w:val="20"/>
          <w:color w:val="auto"/>
        </w:rPr>
      </w:pPr>
    </w:p>
    <w:p>
      <w:pPr>
        <w:ind w:left="640" w:right="679" w:firstLine="438"/>
        <w:spacing w:after="0" w:line="250" w:lineRule="auto"/>
        <w:rPr>
          <w:sz w:val="20"/>
          <w:szCs w:val="20"/>
          <w:color w:val="auto"/>
        </w:rPr>
      </w:pPr>
      <w:r>
        <w:rPr>
          <w:rFonts w:ascii="Arial" w:cs="Arial" w:eastAsia="Arial" w:hAnsi="Arial"/>
          <w:sz w:val="14"/>
          <w:szCs w:val="14"/>
          <w:color w:val="auto"/>
        </w:rPr>
        <w:t>In accordance with our Certificate of Incorporation, which will be effective immediately prior to the closing of this offering, our board of directors will be divided into three classes with staggered three-year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p>
    <w:p>
      <w:pPr>
        <w:spacing w:after="0" w:line="5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60"/>
              <w:spacing w:after="0"/>
              <w:rPr>
                <w:sz w:val="20"/>
                <w:szCs w:val="20"/>
                <w:color w:val="auto"/>
              </w:rPr>
            </w:pPr>
            <w:r>
              <w:rPr>
                <w:rFonts w:ascii="Arial" w:cs="Arial" w:eastAsia="Arial" w:hAnsi="Arial"/>
                <w:sz w:val="14"/>
                <w:szCs w:val="14"/>
                <w:color w:val="auto"/>
                <w:w w:val="99"/>
              </w:rPr>
              <w:t>the Class I directors will be  </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 </w:t>
            </w:r>
          </w:p>
        </w:tc>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80" w:type="dxa"/>
            <w:vAlign w:val="bottom"/>
          </w:tcPr>
          <w:p>
            <w:pPr>
              <w:jc w:val="center"/>
              <w:spacing w:after="0"/>
              <w:rPr>
                <w:sz w:val="20"/>
                <w:szCs w:val="20"/>
                <w:color w:val="auto"/>
              </w:rPr>
            </w:pPr>
            <w:r>
              <w:rPr>
                <w:rFonts w:ascii="Arial" w:cs="Arial" w:eastAsia="Arial" w:hAnsi="Arial"/>
                <w:sz w:val="10"/>
                <w:szCs w:val="10"/>
                <w:color w:val="auto"/>
                <w:w w:val="76"/>
              </w:rPr>
              <w:t>,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 </w:t>
            </w:r>
          </w:p>
        </w:tc>
        <w:tc>
          <w:tcPr>
            <w:tcW w:w="280" w:type="dxa"/>
            <w:vAlign w:val="bottom"/>
          </w:tcPr>
          <w:p>
            <w:pPr>
              <w:jc w:val="center"/>
              <w:spacing w:after="0"/>
              <w:rPr>
                <w:sz w:val="20"/>
                <w:szCs w:val="20"/>
                <w:color w:val="auto"/>
              </w:rPr>
            </w:pPr>
            <w:r>
              <w:rPr>
                <w:rFonts w:ascii="Arial" w:cs="Arial" w:eastAsia="Arial" w:hAnsi="Arial"/>
                <w:sz w:val="14"/>
                <w:szCs w:val="14"/>
                <w:color w:val="auto"/>
              </w:rPr>
              <w:t xml:space="preserve">,     </w:t>
            </w:r>
          </w:p>
        </w:tc>
        <w:tc>
          <w:tcPr>
            <w:tcW w:w="220" w:type="dxa"/>
            <w:vAlign w:val="bottom"/>
          </w:tcPr>
          <w:p>
            <w:pPr>
              <w:jc w:val="center"/>
              <w:spacing w:after="0"/>
              <w:rPr>
                <w:sz w:val="20"/>
                <w:szCs w:val="20"/>
                <w:color w:val="auto"/>
              </w:rPr>
            </w:pPr>
            <w:r>
              <w:rPr>
                <w:rFonts w:ascii="Arial" w:cs="Arial" w:eastAsia="Arial" w:hAnsi="Arial"/>
                <w:sz w:val="5"/>
                <w:szCs w:val="5"/>
                <w:color w:val="auto"/>
                <w:w w:val="79"/>
              </w:rPr>
              <w:t>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500" w:type="dxa"/>
            <w:vAlign w:val="bottom"/>
          </w:tcPr>
          <w:p>
            <w:pPr>
              <w:ind w:left="20"/>
              <w:spacing w:after="0"/>
              <w:rPr>
                <w:sz w:val="20"/>
                <w:szCs w:val="20"/>
                <w:color w:val="auto"/>
              </w:rPr>
            </w:pPr>
            <w:r>
              <w:rPr>
                <w:rFonts w:ascii="Arial" w:cs="Arial" w:eastAsia="Arial" w:hAnsi="Arial"/>
                <w:sz w:val="14"/>
                <w:szCs w:val="14"/>
                <w:color w:val="auto"/>
                <w:w w:val="93"/>
              </w:rPr>
              <w:t>, and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 </w:t>
            </w:r>
          </w:p>
        </w:tc>
        <w:tc>
          <w:tcPr>
            <w:tcW w:w="140" w:type="dxa"/>
            <w:vAlign w:val="bottom"/>
          </w:tcPr>
          <w:p>
            <w:pPr>
              <w:spacing w:after="0"/>
              <w:rPr>
                <w:sz w:val="20"/>
                <w:szCs w:val="20"/>
                <w:color w:val="auto"/>
              </w:rPr>
            </w:pPr>
            <w:r>
              <w:rPr>
                <w:rFonts w:ascii="Arial" w:cs="Arial" w:eastAsia="Arial" w:hAnsi="Arial"/>
                <w:sz w:val="14"/>
                <w:szCs w:val="14"/>
                <w:color w:val="auto"/>
                <w:w w:val="85"/>
              </w:rPr>
              <w:t> </w:t>
            </w:r>
          </w:p>
        </w:tc>
        <w:tc>
          <w:tcPr>
            <w:tcW w:w="2520" w:type="dxa"/>
            <w:vAlign w:val="bottom"/>
          </w:tcPr>
          <w:p>
            <w:pPr>
              <w:spacing w:after="0"/>
              <w:rPr>
                <w:sz w:val="20"/>
                <w:szCs w:val="20"/>
                <w:color w:val="auto"/>
              </w:rPr>
            </w:pPr>
            <w:r>
              <w:rPr>
                <w:rFonts w:ascii="Arial" w:cs="Arial" w:eastAsia="Arial" w:hAnsi="Arial"/>
                <w:sz w:val="14"/>
                <w:szCs w:val="14"/>
                <w:color w:val="auto"/>
              </w:rPr>
              <w:t>, and their terms will expire at the</w:t>
            </w:r>
          </w:p>
        </w:tc>
      </w:tr>
      <w:tr>
        <w:trPr>
          <w:trHeight w:val="190"/>
        </w:trPr>
        <w:tc>
          <w:tcPr>
            <w:tcW w:w="120" w:type="dxa"/>
            <w:vAlign w:val="bottom"/>
          </w:tcPr>
          <w:p>
            <w:pPr>
              <w:spacing w:after="0"/>
              <w:rPr>
                <w:sz w:val="16"/>
                <w:szCs w:val="16"/>
                <w:color w:val="auto"/>
              </w:rPr>
            </w:pPr>
          </w:p>
        </w:tc>
        <w:tc>
          <w:tcPr>
            <w:tcW w:w="3300" w:type="dxa"/>
            <w:vAlign w:val="bottom"/>
            <w:gridSpan w:val="9"/>
          </w:tcPr>
          <w:p>
            <w:pPr>
              <w:ind w:left="60"/>
              <w:spacing w:after="0"/>
              <w:rPr>
                <w:sz w:val="20"/>
                <w:szCs w:val="20"/>
                <w:color w:val="auto"/>
              </w:rPr>
            </w:pPr>
            <w:r>
              <w:rPr>
                <w:rFonts w:ascii="Arial" w:cs="Arial" w:eastAsia="Arial" w:hAnsi="Arial"/>
                <w:sz w:val="14"/>
                <w:szCs w:val="14"/>
                <w:color w:val="auto"/>
              </w:rPr>
              <w:t>annual meeting of stockholders to be held in 2027;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1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60"/>
              <w:spacing w:after="0"/>
              <w:rPr>
                <w:sz w:val="20"/>
                <w:szCs w:val="20"/>
                <w:color w:val="auto"/>
              </w:rPr>
            </w:pPr>
            <w:r>
              <w:rPr>
                <w:rFonts w:ascii="Arial" w:cs="Arial" w:eastAsia="Arial" w:hAnsi="Arial"/>
                <w:sz w:val="14"/>
                <w:szCs w:val="14"/>
                <w:color w:val="auto"/>
                <w:w w:val="97"/>
              </w:rPr>
              <w:t>the Class II directors will be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80" w:type="dxa"/>
            <w:vAlign w:val="bottom"/>
          </w:tcPr>
          <w:p>
            <w:pPr>
              <w:ind w:left="4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280" w:type="dxa"/>
            <w:vAlign w:val="bottom"/>
          </w:tcPr>
          <w:p>
            <w:pPr>
              <w:ind w:left="120"/>
              <w:spacing w:after="0"/>
              <w:rPr>
                <w:sz w:val="20"/>
                <w:szCs w:val="20"/>
                <w:color w:val="auto"/>
              </w:rPr>
            </w:pPr>
            <w:r>
              <w:rPr>
                <w:rFonts w:ascii="Arial" w:cs="Arial" w:eastAsia="Arial" w:hAnsi="Arial"/>
                <w:sz w:val="12"/>
                <w:szCs w:val="12"/>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00" w:type="dxa"/>
            <w:vAlign w:val="bottom"/>
            <w:gridSpan w:val="2"/>
          </w:tcPr>
          <w:p>
            <w:pPr>
              <w:ind w:left="40"/>
              <w:spacing w:after="0"/>
              <w:rPr>
                <w:sz w:val="20"/>
                <w:szCs w:val="20"/>
                <w:color w:val="auto"/>
              </w:rPr>
            </w:pPr>
            <w:r>
              <w:rPr>
                <w:rFonts w:ascii="Arial" w:cs="Arial" w:eastAsia="Arial" w:hAnsi="Arial"/>
                <w:sz w:val="14"/>
                <w:szCs w:val="14"/>
                <w:color w:val="auto"/>
                <w:w w:val="89"/>
              </w:rPr>
              <w:t>, and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3460" w:type="dxa"/>
            <w:vAlign w:val="bottom"/>
            <w:gridSpan w:val="5"/>
          </w:tcPr>
          <w:p>
            <w:pPr>
              <w:ind w:left="40"/>
              <w:spacing w:after="0"/>
              <w:rPr>
                <w:sz w:val="20"/>
                <w:szCs w:val="20"/>
                <w:color w:val="auto"/>
              </w:rPr>
            </w:pPr>
            <w:r>
              <w:rPr>
                <w:rFonts w:ascii="Arial" w:cs="Arial" w:eastAsia="Arial" w:hAnsi="Arial"/>
                <w:sz w:val="14"/>
                <w:szCs w:val="14"/>
                <w:color w:val="auto"/>
              </w:rPr>
              <w:t>      , and their terms will expire at the annual meeting</w:t>
            </w:r>
          </w:p>
        </w:tc>
      </w:tr>
      <w:tr>
        <w:trPr>
          <w:trHeight w:val="190"/>
        </w:trPr>
        <w:tc>
          <w:tcPr>
            <w:tcW w:w="12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color w:val="auto"/>
              </w:rPr>
              <w:t>of stockholders to be held in 2028; and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3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ind w:left="60"/>
              <w:spacing w:after="0"/>
              <w:rPr>
                <w:sz w:val="20"/>
                <w:szCs w:val="20"/>
                <w:color w:val="auto"/>
              </w:rPr>
            </w:pPr>
            <w:r>
              <w:rPr>
                <w:rFonts w:ascii="Arial" w:cs="Arial" w:eastAsia="Arial" w:hAnsi="Arial"/>
                <w:sz w:val="14"/>
                <w:szCs w:val="14"/>
                <w:color w:val="auto"/>
                <w:w w:val="95"/>
              </w:rPr>
              <w:t>the Class III directors will be  </w:t>
            </w:r>
          </w:p>
        </w:tc>
        <w:tc>
          <w:tcPr>
            <w:tcW w:w="160" w:type="dxa"/>
            <w:vAlign w:val="bottom"/>
          </w:tcPr>
          <w:p>
            <w:pPr>
              <w:ind w:left="100"/>
              <w:spacing w:after="0"/>
              <w:rPr>
                <w:sz w:val="20"/>
                <w:szCs w:val="20"/>
                <w:color w:val="auto"/>
              </w:rPr>
            </w:pPr>
            <w:r>
              <w:rPr>
                <w:rFonts w:ascii="Arial" w:cs="Arial" w:eastAsia="Arial" w:hAnsi="Arial"/>
                <w:sz w:val="5"/>
                <w:szCs w:val="5"/>
                <w:color w:val="auto"/>
                <w:w w:val="79"/>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 </w:t>
            </w:r>
          </w:p>
        </w:tc>
        <w:tc>
          <w:tcPr>
            <w:tcW w:w="280" w:type="dxa"/>
            <w:vAlign w:val="bottom"/>
          </w:tcPr>
          <w:p>
            <w:pPr>
              <w:jc w:val="center"/>
              <w:spacing w:after="0"/>
              <w:rPr>
                <w:sz w:val="20"/>
                <w:szCs w:val="20"/>
                <w:color w:val="auto"/>
              </w:rPr>
            </w:pPr>
            <w:r>
              <w:rPr>
                <w:rFonts w:ascii="Arial" w:cs="Arial" w:eastAsia="Arial" w:hAnsi="Arial"/>
                <w:sz w:val="12"/>
                <w:szCs w:val="12"/>
                <w:color w:val="auto"/>
                <w:w w:val="74"/>
              </w:rPr>
              <w:t>   ,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60" w:type="dxa"/>
            <w:vAlign w:val="bottom"/>
          </w:tcPr>
          <w:p>
            <w:pPr>
              <w:ind w:left="100"/>
              <w:spacing w:after="0"/>
              <w:rPr>
                <w:sz w:val="20"/>
                <w:szCs w:val="20"/>
                <w:color w:val="auto"/>
              </w:rPr>
            </w:pPr>
            <w:r>
              <w:rPr>
                <w:rFonts w:ascii="Arial" w:cs="Arial" w:eastAsia="Arial" w:hAnsi="Arial"/>
                <w:sz w:val="5"/>
                <w:szCs w:val="5"/>
                <w:color w:val="auto"/>
                <w:w w:val="79"/>
              </w:rPr>
              <w:t> </w:t>
            </w:r>
          </w:p>
        </w:tc>
        <w:tc>
          <w:tcPr>
            <w:tcW w:w="280" w:type="dxa"/>
            <w:vAlign w:val="bottom"/>
          </w:tcPr>
          <w:p>
            <w:pPr>
              <w:jc w:val="center"/>
              <w:spacing w:after="0"/>
              <w:rPr>
                <w:sz w:val="20"/>
                <w:szCs w:val="20"/>
                <w:color w:val="auto"/>
              </w:rPr>
            </w:pPr>
            <w:r>
              <w:rPr>
                <w:rFonts w:ascii="Arial" w:cs="Arial" w:eastAsia="Arial" w:hAnsi="Arial"/>
                <w:sz w:val="10"/>
                <w:szCs w:val="10"/>
                <w:color w:val="auto"/>
                <w:w w:val="76"/>
              </w:rPr>
              <w:t>,  </w:t>
            </w:r>
          </w:p>
        </w:tc>
        <w:tc>
          <w:tcPr>
            <w:tcW w:w="220" w:type="dxa"/>
            <w:vAlign w:val="bottom"/>
          </w:tcPr>
          <w:p>
            <w:pPr>
              <w:jc w:val="center"/>
              <w:spacing w:after="0"/>
              <w:rPr>
                <w:sz w:val="20"/>
                <w:szCs w:val="20"/>
                <w:color w:val="auto"/>
              </w:rPr>
            </w:pPr>
            <w:r>
              <w:rPr>
                <w:rFonts w:ascii="Arial" w:cs="Arial" w:eastAsia="Arial" w:hAnsi="Arial"/>
                <w:sz w:val="14"/>
                <w:szCs w:val="14"/>
                <w:color w:val="auto"/>
              </w:rPr>
              <w:t xml:space="preserve">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500" w:type="dxa"/>
            <w:vAlign w:val="bottom"/>
          </w:tcPr>
          <w:p>
            <w:pPr>
              <w:ind w:left="100"/>
              <w:spacing w:after="0"/>
              <w:rPr>
                <w:sz w:val="20"/>
                <w:szCs w:val="20"/>
                <w:color w:val="auto"/>
              </w:rPr>
            </w:pPr>
            <w:r>
              <w:rPr>
                <w:rFonts w:ascii="Arial" w:cs="Arial" w:eastAsia="Arial" w:hAnsi="Arial"/>
                <w:sz w:val="14"/>
                <w:szCs w:val="14"/>
                <w:color w:val="auto"/>
                <w:w w:val="77"/>
              </w:rPr>
              <w:t>, and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60" w:type="dxa"/>
            <w:vAlign w:val="bottom"/>
          </w:tcPr>
          <w:p>
            <w:pPr>
              <w:ind w:left="100"/>
              <w:spacing w:after="0"/>
              <w:rPr>
                <w:sz w:val="20"/>
                <w:szCs w:val="20"/>
                <w:color w:val="auto"/>
              </w:rPr>
            </w:pPr>
            <w:r>
              <w:rPr>
                <w:rFonts w:ascii="Arial" w:cs="Arial" w:eastAsia="Arial" w:hAnsi="Arial"/>
                <w:sz w:val="5"/>
                <w:szCs w:val="5"/>
                <w:color w:val="auto"/>
                <w:w w:val="79"/>
              </w:rPr>
              <w:t> </w:t>
            </w:r>
          </w:p>
        </w:tc>
        <w:tc>
          <w:tcPr>
            <w:tcW w:w="140" w:type="dxa"/>
            <w:vAlign w:val="bottom"/>
          </w:tcPr>
          <w:p>
            <w:pPr>
              <w:ind w:left="80"/>
              <w:spacing w:after="0"/>
              <w:rPr>
                <w:sz w:val="20"/>
                <w:szCs w:val="20"/>
                <w:color w:val="auto"/>
              </w:rPr>
            </w:pPr>
            <w:r>
              <w:rPr>
                <w:rFonts w:ascii="Arial" w:cs="Arial" w:eastAsia="Arial" w:hAnsi="Arial"/>
                <w:sz w:val="5"/>
                <w:szCs w:val="5"/>
                <w:color w:val="auto"/>
                <w:w w:val="79"/>
              </w:rPr>
              <w:t> </w:t>
            </w:r>
          </w:p>
        </w:tc>
        <w:tc>
          <w:tcPr>
            <w:tcW w:w="2520" w:type="dxa"/>
            <w:vAlign w:val="bottom"/>
          </w:tcPr>
          <w:p>
            <w:pPr>
              <w:ind w:left="80"/>
              <w:spacing w:after="0"/>
              <w:rPr>
                <w:sz w:val="20"/>
                <w:szCs w:val="20"/>
                <w:color w:val="auto"/>
              </w:rPr>
            </w:pPr>
            <w:r>
              <w:rPr>
                <w:rFonts w:ascii="Arial" w:cs="Arial" w:eastAsia="Arial" w:hAnsi="Arial"/>
                <w:sz w:val="14"/>
                <w:szCs w:val="14"/>
                <w:color w:val="auto"/>
              </w:rPr>
              <w:t>, and their terms will expire at the</w:t>
            </w:r>
          </w:p>
        </w:tc>
      </w:tr>
    </w:tbl>
    <w:p>
      <w:pPr>
        <w:ind w:left="1260"/>
        <w:spacing w:after="0"/>
        <w:rPr>
          <w:sz w:val="20"/>
          <w:szCs w:val="20"/>
          <w:color w:val="auto"/>
        </w:rPr>
      </w:pPr>
      <w:r>
        <w:rPr>
          <w:rFonts w:ascii="Arial" w:cs="Arial" w:eastAsia="Arial" w:hAnsi="Arial"/>
          <w:sz w:val="14"/>
          <w:szCs w:val="14"/>
          <w:color w:val="auto"/>
        </w:rPr>
        <w:t>annual meeting of stockholders to be held in 2029.</w:t>
      </w:r>
    </w:p>
    <w:p>
      <w:pPr>
        <w:spacing w:after="0" w:line="72" w:lineRule="exact"/>
        <w:rPr>
          <w:sz w:val="20"/>
          <w:szCs w:val="20"/>
          <w:color w:val="auto"/>
        </w:rPr>
      </w:pPr>
    </w:p>
    <w:p>
      <w:pPr>
        <w:jc w:val="both"/>
        <w:ind w:left="640" w:right="779" w:firstLine="438"/>
        <w:spacing w:after="0" w:line="261" w:lineRule="auto"/>
        <w:rPr>
          <w:sz w:val="20"/>
          <w:szCs w:val="20"/>
          <w:color w:val="auto"/>
        </w:rPr>
      </w:pPr>
      <w:r>
        <w:rPr>
          <w:rFonts w:ascii="Arial" w:cs="Arial" w:eastAsia="Arial" w:hAnsi="Arial"/>
          <w:sz w:val="14"/>
          <w:szCs w:val="14"/>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a change of our management or a change in control of our company.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0" w:name="page191"/>
    <w:bookmarkEnd w:id="19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Director Independence</w:t>
      </w:r>
    </w:p>
    <w:p>
      <w:pPr>
        <w:spacing w:after="0" w:line="86" w:lineRule="exact"/>
        <w:rPr>
          <w:sz w:val="20"/>
          <w:szCs w:val="20"/>
          <w:color w:val="auto"/>
        </w:rPr>
      </w:pPr>
    </w:p>
    <w:p>
      <w:pPr>
        <w:ind w:left="640" w:right="679" w:firstLine="438"/>
        <w:spacing w:after="0" w:line="245" w:lineRule="auto"/>
        <w:rPr>
          <w:sz w:val="20"/>
          <w:szCs w:val="20"/>
          <w:color w:val="auto"/>
        </w:rPr>
      </w:pPr>
      <w:r>
        <w:rPr>
          <w:rFonts w:ascii="Arial" w:cs="Arial" w:eastAsia="Arial" w:hAnsi="Arial"/>
          <w:sz w:val="14"/>
          <w:szCs w:val="14"/>
          <w:color w:val="auto"/>
        </w:rPr>
        <w:t>Under the rules and listing standards of The Nasdaq Stock Market LLC, or the Nasdaq Rules, a majority of the members of our board of directors must satisfy the criteria for “independence.” No director qualifies as independent under the Nasdaq Rules unless our board of directors affirmatively determines that the director does not have a relationship with us that would impair independence, directly or indirectly. Our board of directors has determined that all of our directors</w:t>
      </w:r>
    </w:p>
    <w:p>
      <w:pPr>
        <w:spacing w:after="0" w:line="1" w:lineRule="exact"/>
        <w:rPr>
          <w:sz w:val="20"/>
          <w:szCs w:val="20"/>
          <w:color w:val="auto"/>
        </w:rPr>
      </w:pPr>
    </w:p>
    <w:p>
      <w:pPr>
        <w:ind w:left="640" w:right="659"/>
        <w:spacing w:after="0" w:line="245" w:lineRule="auto"/>
        <w:rPr>
          <w:sz w:val="20"/>
          <w:szCs w:val="20"/>
          <w:color w:val="auto"/>
        </w:rPr>
      </w:pPr>
      <w:r>
        <w:rPr>
          <w:rFonts w:ascii="Arial" w:cs="Arial" w:eastAsia="Arial" w:hAnsi="Arial"/>
          <w:sz w:val="14"/>
          <w:szCs w:val="14"/>
          <w:color w:val="auto"/>
        </w:rPr>
        <w:t>qualify as independent under the Nasdaq Rules, except for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of this prospectus titled “</w:t>
      </w:r>
      <w:r>
        <w:rPr>
          <w:rFonts w:ascii="Arial" w:cs="Arial" w:eastAsia="Arial" w:hAnsi="Arial"/>
          <w:sz w:val="14"/>
          <w:szCs w:val="14"/>
          <w:i w:val="1"/>
          <w:iCs w:val="1"/>
          <w:color w:val="auto"/>
        </w:rPr>
        <w:t>Certain Relationships and Related Person Transactions</w:t>
      </w:r>
      <w:r>
        <w:rPr>
          <w:rFonts w:ascii="Arial" w:cs="Arial" w:eastAsia="Arial" w:hAnsi="Arial"/>
          <w:sz w:val="14"/>
          <w:szCs w:val="14"/>
          <w:color w:val="auto"/>
        </w:rPr>
        <w: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Board Leadership Structure</w:t>
      </w:r>
    </w:p>
    <w:p>
      <w:pPr>
        <w:spacing w:after="0" w:line="86"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color w:val="auto"/>
        </w:rPr>
        <w:t>Our board of directors recognizes that one of its key responsibilities is to evaluate and determine its optimal leadership structure so as to provide effective oversight of management. Our Bylaws provide our board of directors with flexibility to combine or separate the positions of Chair of our board of directors and Chief Executive Officer. Our board of directors believes that our existing leadership structure, under which Dr. Glick serves as our Chief Executive Officer and Dr. Leiden serves as Chair of our board of directors, is effective, provides the appropriate balance of authority between independent and non-independent directors, and achieves the optimal governance model for us and for our stockholders at this time. Moreover, we believe that separating these positions allows our Chief Executive Officer to focus on our research and development programs and other day-to-day business, while allowing the Chair of our board of directors to lead our board of directors in its fundamental role of providing advice to and independent oversight of management. Our board of directors recognizes the time, effort and energy that our Chief Executive Officer is required to devote to his position in the current business environment, as well as the commitment required to serve as the Chair of our board of directors, particularly as our board of directors’ oversight responsibilities continue to grow.</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Board Oversight of Risk</w:t>
      </w:r>
    </w:p>
    <w:p>
      <w:pPr>
        <w:spacing w:after="0" w:line="86"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Although management is responsible for the day-to-day management of the risks our company faces, our board of directors and its committees take an active role in overseeing management of our risks and have the ultimate responsibility for the oversight of risk management. Our board of directors regularly reviews information regarding our operational, financial, legal and strategic risks. Specifically, senior management attends quarterly meetings of our board of directors, periodically provides presentations on operations, including significant risks, and is available to address any questions or concerns raised by our board of directors.</w:t>
      </w:r>
    </w:p>
    <w:p>
      <w:pPr>
        <w:spacing w:after="0" w:line="54" w:lineRule="exact"/>
        <w:rPr>
          <w:sz w:val="20"/>
          <w:szCs w:val="20"/>
          <w:color w:val="auto"/>
        </w:rPr>
      </w:pPr>
    </w:p>
    <w:p>
      <w:pPr>
        <w:ind w:left="640" w:right="799" w:firstLine="438"/>
        <w:spacing w:after="0" w:line="244" w:lineRule="auto"/>
        <w:rPr>
          <w:sz w:val="20"/>
          <w:szCs w:val="20"/>
          <w:color w:val="auto"/>
        </w:rPr>
      </w:pPr>
      <w:r>
        <w:rPr>
          <w:rFonts w:ascii="Arial" w:cs="Arial" w:eastAsia="Arial" w:hAnsi="Arial"/>
          <w:sz w:val="14"/>
          <w:szCs w:val="14"/>
          <w:color w:val="auto"/>
        </w:rPr>
        <w:t>In addition, we expect that our three standing committees will assist our board of directors in fulfilling its oversight responsibilities regarding risk. The audit committee of our board of directors, or the Audit Committee, will coordinate our board of directors’ oversight of our internal control over financial reporting, disclosure controls and procedures, related party transactions, cybersecurity and code of conduct and management will regularly report to the Audit Committee on these areas. The compensation committee of our board of directors, or the Compensation Committee, will assist our board of directors in fulfilling its oversight responsibilities with respect to the management of risks arising from our compensation policies and programs as well as succession planning as it relates to our Chief Executive Officer. The nominating and governance committee of our board of directors, or the Nominating and Governance Committee, will assist our board of directors in fulfilling its oversight responsibilities with respect to the management of risks associated with board organization, membership and structure, succession planning for our directors and our corporate governance generally. When any of the committees receives a report related to material risk oversight, the chair of the relevant committee will report on the discussion to our full board of directors.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Code of Conduct and Ethics</w:t>
      </w:r>
    </w:p>
    <w:p>
      <w:pPr>
        <w:spacing w:after="0" w:line="86" w:lineRule="exact"/>
        <w:rPr>
          <w:sz w:val="20"/>
          <w:szCs w:val="20"/>
          <w:color w:val="auto"/>
        </w:rPr>
      </w:pPr>
    </w:p>
    <w:p>
      <w:pPr>
        <w:ind w:left="640" w:right="699" w:firstLine="438"/>
        <w:spacing w:after="0" w:line="247" w:lineRule="auto"/>
        <w:rPr>
          <w:sz w:val="20"/>
          <w:szCs w:val="20"/>
          <w:color w:val="auto"/>
        </w:rPr>
      </w:pPr>
      <w:r>
        <w:rPr>
          <w:rFonts w:ascii="Arial" w:cs="Arial" w:eastAsia="Arial" w:hAnsi="Arial"/>
          <w:sz w:val="14"/>
          <w:szCs w:val="14"/>
          <w:color w:val="auto"/>
        </w:rPr>
        <w:t>We anticipate adopting an amended code of conduct and ethics, to be effective upon the closing of this offering, which will apply to all of our employees, officers, including those officers responsible for financial reporting, directors and vendors or independent contractors providing us services. Following the closing of this offering, the amended code of conduct and ethics will be available on our website at https://odysseytx.com. We intend to disclose any amendments to the code of conduct and ethics,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1" w:name="page192"/>
    <w:bookmarkEnd w:id="19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Board Committees</w:t>
      </w:r>
    </w:p>
    <w:p>
      <w:pPr>
        <w:spacing w:after="0" w:line="86"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Governance Committee. The composition and responsibilities of each of the committees of our board of directors are described below. Members will serve on these committees until their resignation or removal or until otherwise determined by our board of directors.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Audit Committee</w:t>
      </w:r>
    </w:p>
    <w:p>
      <w:pPr>
        <w:spacing w:after="0" w:line="84" w:lineRule="exact"/>
        <w:rPr>
          <w:sz w:val="20"/>
          <w:szCs w:val="20"/>
          <w:color w:val="auto"/>
        </w:rPr>
      </w:pPr>
    </w:p>
    <w:p>
      <w:pPr>
        <w:ind w:left="1080"/>
        <w:spacing w:after="0"/>
        <w:tabs>
          <w:tab w:leader="none" w:pos="4000" w:val="left"/>
          <w:tab w:leader="none" w:pos="6140" w:val="left"/>
        </w:tabs>
        <w:rPr>
          <w:sz w:val="20"/>
          <w:szCs w:val="20"/>
          <w:color w:val="auto"/>
        </w:rPr>
      </w:pPr>
      <w:r>
        <w:rPr>
          <w:rFonts w:ascii="Arial" w:cs="Arial" w:eastAsia="Arial" w:hAnsi="Arial"/>
          <w:sz w:val="14"/>
          <w:szCs w:val="14"/>
          <w:color w:val="auto"/>
        </w:rPr>
        <w:t>The Audit Committee is comprised of</w:t>
      </w:r>
      <w:r>
        <w:rPr>
          <w:sz w:val="20"/>
          <w:szCs w:val="20"/>
          <w:color w:val="auto"/>
        </w:rPr>
        <w:tab/>
      </w:r>
      <w:r>
        <w:rPr>
          <w:rFonts w:ascii="Arial" w:cs="Arial" w:eastAsia="Arial" w:hAnsi="Arial"/>
          <w:sz w:val="14"/>
          <w:szCs w:val="14"/>
          <w:color w:val="auto"/>
        </w:rPr>
        <w:t xml:space="preserve">,          , and          , with        </w:t>
        <w:tab/>
        <w:t>serving as Chair of the Audit</w:t>
      </w:r>
    </w:p>
    <w:p>
      <w:pPr>
        <w:spacing w:after="0" w:line="14" w:lineRule="exact"/>
        <w:rPr>
          <w:sz w:val="20"/>
          <w:szCs w:val="20"/>
          <w:color w:val="auto"/>
        </w:rPr>
      </w:pPr>
    </w:p>
    <w:p>
      <w:pPr>
        <w:ind w:left="640" w:right="779"/>
        <w:spacing w:after="0" w:line="242" w:lineRule="auto"/>
        <w:rPr>
          <w:sz w:val="20"/>
          <w:szCs w:val="20"/>
          <w:color w:val="auto"/>
        </w:rPr>
      </w:pPr>
      <w:r>
        <w:rPr>
          <w:rFonts w:ascii="Arial" w:cs="Arial" w:eastAsia="Arial" w:hAnsi="Arial"/>
          <w:sz w:val="14"/>
          <w:szCs w:val="14"/>
          <w:color w:val="auto"/>
        </w:rPr>
        <w:t>Committee. Each member of the Audit Committee must be independent as defined under the applicable Nasdaq Rules and rules of the SEC and financially literate under the Nasdaq Rules. Our board of directors has determined that each member of the Audit Committee is “independent” and “financially literate” under the Nasdaq Rules and the rules of the SEC and that       is an “audit committee financial expert” under the rules of the SEC. The responsibilities of the Audit Committee are included in a written charter. The Audit Committee acts on behalf of our board of directors in fulfilling our board of directors’ oversight responsibilities with respect to our corporate accounting and financial reporting processes, the systems of internal control over financial reporting and audits of financial statements, and also assists our board of directors in its oversight of the quality and integrity of our financial statements and reports and the qualifications, independence and performance of our independent registered public accounting firm. The functions of the Audit Committee include, among others:</w:t>
      </w:r>
    </w:p>
    <w:p>
      <w:pPr>
        <w:spacing w:after="0" w:line="59" w:lineRule="exact"/>
        <w:rPr>
          <w:sz w:val="20"/>
          <w:szCs w:val="20"/>
          <w:color w:val="auto"/>
        </w:rPr>
      </w:pPr>
    </w:p>
    <w:p>
      <w:pPr>
        <w:ind w:left="1260" w:right="739" w:hanging="179"/>
        <w:spacing w:after="0" w:line="281"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appointing a firm to serve as the independent registered public accounting firm to audit our financial statements and overseeing the work of such firm;</w:t>
      </w:r>
    </w:p>
    <w:p>
      <w:pPr>
        <w:spacing w:after="0" w:line="30" w:lineRule="exact"/>
        <w:rPr>
          <w:rFonts w:ascii="Times New Roman" w:cs="Times New Roman" w:eastAsia="Times New Roman" w:hAnsi="Times New Roman"/>
          <w:sz w:val="14"/>
          <w:szCs w:val="14"/>
          <w:color w:val="auto"/>
        </w:rPr>
      </w:pPr>
    </w:p>
    <w:p>
      <w:pPr>
        <w:ind w:left="1260" w:right="779" w:hanging="179"/>
        <w:spacing w:after="0" w:line="281"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ensuring the independence of the independent registered public accounting firm, determining whether to retain our existing independent registered public accounting firm and determining the compensation for such firm;</w:t>
      </w:r>
    </w:p>
    <w:p>
      <w:pPr>
        <w:spacing w:after="0" w:line="30" w:lineRule="exact"/>
        <w:rPr>
          <w:rFonts w:ascii="Times New Roman" w:cs="Times New Roman" w:eastAsia="Times New Roman" w:hAnsi="Times New Roman"/>
          <w:sz w:val="14"/>
          <w:szCs w:val="14"/>
          <w:color w:val="auto"/>
        </w:rPr>
      </w:pPr>
    </w:p>
    <w:p>
      <w:pPr>
        <w:ind w:left="1260" w:right="659" w:hanging="179"/>
        <w:spacing w:after="0" w:line="254"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discussing the scope and results of the audit or review with the independent registered public accounting firm and reviewing, with management and that firm, our interim and year-end operating results and reports, including the disclosures contained under the heading “</w:t>
      </w:r>
      <w:r>
        <w:rPr>
          <w:rFonts w:ascii="Arial" w:cs="Arial" w:eastAsia="Arial" w:hAnsi="Arial"/>
          <w:sz w:val="14"/>
          <w:szCs w:val="14"/>
          <w:i w:val="1"/>
          <w:iCs w:val="1"/>
          <w:color w:val="auto"/>
        </w:rPr>
        <w:t>Management’s Discussion and Analysis of Financial Condition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Results of Operations</w:t>
      </w:r>
      <w:r>
        <w:rPr>
          <w:rFonts w:ascii="Arial" w:cs="Arial" w:eastAsia="Arial" w:hAnsi="Arial"/>
          <w:sz w:val="14"/>
          <w:szCs w:val="14"/>
          <w:color w:val="auto"/>
        </w:rPr>
        <w:t>”;</w:t>
      </w:r>
    </w:p>
    <w:p>
      <w:pPr>
        <w:spacing w:after="0" w:line="48" w:lineRule="exact"/>
        <w:rPr>
          <w:rFonts w:ascii="Times New Roman" w:cs="Times New Roman" w:eastAsia="Times New Roman" w:hAnsi="Times New Roman"/>
          <w:sz w:val="14"/>
          <w:szCs w:val="14"/>
          <w:color w:val="auto"/>
        </w:rPr>
      </w:pPr>
    </w:p>
    <w:p>
      <w:pPr>
        <w:ind w:left="1260" w:right="839" w:hanging="179"/>
        <w:spacing w:after="0" w:line="260"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overseeing the integrity of our accounting and financial reporting processes and our system of internal control over financial reporting, including any significant deficiencies and material weaknesses in the design or operation of such system, and our disclosure controls;</w:t>
      </w:r>
    </w:p>
    <w:p>
      <w:pPr>
        <w:spacing w:after="0" w:line="45" w:lineRule="exact"/>
        <w:rPr>
          <w:rFonts w:ascii="Times New Roman" w:cs="Times New Roman" w:eastAsia="Times New Roman" w:hAnsi="Times New Roman"/>
          <w:sz w:val="14"/>
          <w:szCs w:val="14"/>
          <w:color w:val="auto"/>
        </w:rPr>
      </w:pPr>
    </w:p>
    <w:p>
      <w:pPr>
        <w:ind w:left="1260" w:right="839" w:hanging="179"/>
        <w:spacing w:after="0" w:line="250"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discussing with our management and independent registered public accounting firm the scope, design, implementation, adequacy and effectiveness of our internal control over financial reporting and disclosure controls, including any reportable conditions, material weaknesses or significant deficiencies, significant changes in internal controls reported to the Audit Committee by our management or independent registered public accounting firm and our management’s reports and assessments thereon;</w:t>
      </w:r>
    </w:p>
    <w:p>
      <w:pPr>
        <w:spacing w:after="0" w:line="52"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material related party transactions or those that require disclosure;</w:t>
      </w:r>
    </w:p>
    <w:p>
      <w:pPr>
        <w:spacing w:after="0" w:line="96" w:lineRule="exact"/>
        <w:rPr>
          <w:rFonts w:ascii="Times New Roman" w:cs="Times New Roman" w:eastAsia="Times New Roman" w:hAnsi="Times New Roman"/>
          <w:sz w:val="14"/>
          <w:szCs w:val="14"/>
          <w:color w:val="auto"/>
        </w:rPr>
      </w:pPr>
    </w:p>
    <w:p>
      <w:pPr>
        <w:ind w:left="1260" w:right="919" w:hanging="179"/>
        <w:spacing w:after="0" w:line="281"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pre-approving audit and non-audit services to be performed by the independent registered public accounting firm;</w:t>
      </w:r>
    </w:p>
    <w:p>
      <w:pPr>
        <w:spacing w:after="0" w:line="30"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overseeing our compliance program;</w:t>
      </w:r>
    </w:p>
    <w:p>
      <w:pPr>
        <w:spacing w:after="0" w:line="96" w:lineRule="exact"/>
        <w:rPr>
          <w:rFonts w:ascii="Times New Roman" w:cs="Times New Roman" w:eastAsia="Times New Roman" w:hAnsi="Times New Roman"/>
          <w:sz w:val="14"/>
          <w:szCs w:val="14"/>
          <w:color w:val="auto"/>
        </w:rPr>
      </w:pPr>
    </w:p>
    <w:p>
      <w:pPr>
        <w:ind w:left="1260" w:right="1339" w:hanging="179"/>
        <w:spacing w:after="0" w:line="281" w:lineRule="auto"/>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overseeing our risk management process, including with respect to cybersecurity, and our process for preventing and detecting fraud; and</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our investment policy and annual business plan.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84" w:lineRule="exact"/>
        <w:rPr>
          <w:sz w:val="20"/>
          <w:szCs w:val="20"/>
          <w:color w:val="auto"/>
        </w:rPr>
      </w:pPr>
    </w:p>
    <w:p>
      <w:pPr>
        <w:ind w:left="640" w:right="699" w:firstLine="438"/>
        <w:spacing w:after="0" w:line="248" w:lineRule="auto"/>
        <w:rPr>
          <w:sz w:val="20"/>
          <w:szCs w:val="20"/>
          <w:color w:val="auto"/>
        </w:rPr>
      </w:pPr>
      <w:r>
        <w:rPr>
          <w:rFonts w:ascii="Arial" w:cs="Arial" w:eastAsia="Arial" w:hAnsi="Arial"/>
          <w:sz w:val="14"/>
          <w:szCs w:val="14"/>
          <w:color w:val="auto"/>
        </w:rPr>
        <w:t>The Compensation Committee is comprised of           ,           and           , with           serving as Chair of the Compensation Committee. Our board of directors has determined that each member of the Compensation Committee is “independent” under the Nasdaq Rules and all applicable laws. Each member of the Compensation Committee is also a “nonemployee director” as that term is defined under Rule 16b-3 under the Exchange Act. The Compensation Committee acts on behalf of our board of directors to fulfill our board of directors’ responsibilities in overseeing our compensation policies, plans and programs; and in reviewing and determining the compensation to be</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2" w:name="page193"/>
    <w:bookmarkEnd w:id="19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1099"/>
        <w:spacing w:after="0" w:line="282" w:lineRule="auto"/>
        <w:rPr>
          <w:sz w:val="20"/>
          <w:szCs w:val="20"/>
          <w:color w:val="auto"/>
        </w:rPr>
      </w:pPr>
      <w:r>
        <w:rPr>
          <w:rFonts w:ascii="Arial" w:cs="Arial" w:eastAsia="Arial" w:hAnsi="Arial"/>
          <w:sz w:val="14"/>
          <w:szCs w:val="14"/>
          <w:color w:val="auto"/>
        </w:rPr>
        <w:t>paid to our executive officers and non-employee directors. The responsibilities of the Compensation Committee are included in its written charter. The functions of the Compensation Committee include, among others:</w:t>
      </w:r>
    </w:p>
    <w:p>
      <w:pPr>
        <w:spacing w:after="0" w:line="30" w:lineRule="exact"/>
        <w:rPr>
          <w:sz w:val="20"/>
          <w:szCs w:val="20"/>
          <w:color w:val="auto"/>
        </w:rPr>
      </w:pPr>
    </w:p>
    <w:p>
      <w:pPr>
        <w:ind w:left="1260" w:hanging="179"/>
        <w:spacing w:after="0"/>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approving the compensation of executive officers, except for the Chief Executive Officer;</w:t>
      </w:r>
    </w:p>
    <w:p>
      <w:pPr>
        <w:spacing w:after="0" w:line="96"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recommending to our board of directors the compensation of our directors and Chief Executive Officer;</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administering our equity incentive and other benefit plans;</w:t>
      </w:r>
    </w:p>
    <w:p>
      <w:pPr>
        <w:spacing w:after="0" w:line="96" w:lineRule="exact"/>
        <w:rPr>
          <w:rFonts w:ascii="Times New Roman" w:cs="Times New Roman" w:eastAsia="Times New Roman" w:hAnsi="Times New Roman"/>
          <w:sz w:val="14"/>
          <w:szCs w:val="14"/>
          <w:color w:val="auto"/>
        </w:rPr>
      </w:pPr>
    </w:p>
    <w:p>
      <w:pPr>
        <w:ind w:left="1260" w:right="1159" w:hanging="179"/>
        <w:spacing w:after="0" w:line="281" w:lineRule="auto"/>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our overall compensation philosophy;</w:t>
      </w:r>
    </w:p>
    <w:p>
      <w:pPr>
        <w:spacing w:after="0" w:line="96" w:lineRule="exact"/>
        <w:rPr>
          <w:rFonts w:ascii="Times New Roman" w:cs="Times New Roman" w:eastAsia="Times New Roman" w:hAnsi="Times New Roman"/>
          <w:sz w:val="14"/>
          <w:szCs w:val="14"/>
          <w:color w:val="auto"/>
        </w:rPr>
      </w:pPr>
    </w:p>
    <w:p>
      <w:pPr>
        <w:ind w:left="1260" w:right="1579" w:hanging="179"/>
        <w:spacing w:after="0" w:line="281" w:lineRule="auto"/>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overseeing and reviewing management’s assessment of major risk exposures associated with our compensation policies and practice and the mitigation thereof;</w:t>
      </w:r>
    </w:p>
    <w:p>
      <w:pPr>
        <w:spacing w:after="0" w:line="30" w:lineRule="exact"/>
        <w:rPr>
          <w:rFonts w:ascii="Times New Roman" w:cs="Times New Roman" w:eastAsia="Times New Roman" w:hAnsi="Times New Roman"/>
          <w:sz w:val="14"/>
          <w:szCs w:val="14"/>
          <w:color w:val="auto"/>
        </w:rPr>
      </w:pPr>
    </w:p>
    <w:p>
      <w:pPr>
        <w:ind w:left="1260" w:right="859" w:hanging="179"/>
        <w:spacing w:after="0" w:line="281" w:lineRule="auto"/>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administering our “clawback policy,” subject to applicable rules and regulations of the SEC and Nasdaq;</w:t>
      </w:r>
    </w:p>
    <w:p>
      <w:pPr>
        <w:spacing w:after="0" w:line="30" w:lineRule="exact"/>
        <w:rPr>
          <w:rFonts w:ascii="Times New Roman" w:cs="Times New Roman" w:eastAsia="Times New Roman" w:hAnsi="Times New Roman"/>
          <w:sz w:val="14"/>
          <w:szCs w:val="14"/>
          <w:color w:val="auto"/>
        </w:rPr>
      </w:pPr>
    </w:p>
    <w:p>
      <w:pPr>
        <w:ind w:left="1260" w:right="839" w:hanging="179"/>
        <w:spacing w:after="0" w:line="281" w:lineRule="auto"/>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assessing the independence of compensation consultants, legal counsel and other advisors as required by Section 10C of the Exchange Act; and</w:t>
      </w:r>
    </w:p>
    <w:p>
      <w:pPr>
        <w:spacing w:after="0" w:line="30" w:lineRule="exact"/>
        <w:rPr>
          <w:rFonts w:ascii="Times New Roman" w:cs="Times New Roman" w:eastAsia="Times New Roman" w:hAnsi="Times New Roman"/>
          <w:sz w:val="14"/>
          <w:szCs w:val="14"/>
          <w:color w:val="auto"/>
        </w:rPr>
      </w:pPr>
    </w:p>
    <w:p>
      <w:pPr>
        <w:ind w:left="1260" w:right="959" w:hanging="179"/>
        <w:spacing w:after="0" w:line="281" w:lineRule="auto"/>
        <w:tabs>
          <w:tab w:leader="none" w:pos="1260" w:val="left"/>
        </w:tabs>
        <w:numPr>
          <w:ilvl w:val="0"/>
          <w:numId w:val="72"/>
        </w:numPr>
        <w:rPr>
          <w:rFonts w:ascii="Times New Roman" w:cs="Times New Roman" w:eastAsia="Times New Roman" w:hAnsi="Times New Roman"/>
          <w:sz w:val="14"/>
          <w:szCs w:val="14"/>
          <w:color w:val="auto"/>
        </w:rPr>
      </w:pPr>
      <w:r>
        <w:rPr>
          <w:rFonts w:ascii="Arial" w:cs="Arial" w:eastAsia="Arial" w:hAnsi="Arial"/>
          <w:sz w:val="14"/>
          <w:szCs w:val="14"/>
          <w:color w:val="auto"/>
        </w:rPr>
        <w:t>periodically reviewing our strategies, initiatives and programs with respect to our culture, talent, recruitment, retention, employee engagement and diversity and inclusion.</w:t>
      </w:r>
    </w:p>
    <w:p>
      <w:pPr>
        <w:spacing w:after="0" w:line="30" w:lineRule="exact"/>
        <w:rPr>
          <w:sz w:val="20"/>
          <w:szCs w:val="20"/>
          <w:color w:val="auto"/>
        </w:rPr>
      </w:pPr>
    </w:p>
    <w:p>
      <w:pPr>
        <w:ind w:left="640" w:right="759" w:firstLine="438"/>
        <w:spacing w:after="0" w:line="282" w:lineRule="auto"/>
        <w:rPr>
          <w:sz w:val="20"/>
          <w:szCs w:val="20"/>
          <w:color w:val="auto"/>
        </w:rPr>
      </w:pPr>
      <w:r>
        <w:rPr>
          <w:rFonts w:ascii="Arial" w:cs="Arial" w:eastAsia="Arial" w:hAnsi="Arial"/>
          <w:sz w:val="14"/>
          <w:szCs w:val="14"/>
          <w:color w:val="auto"/>
        </w:rPr>
        <w:t>In addition, once we cease to be an emerging growth company, as defined in the JOBS Act, the responsibilities of the Compensation Committee will also include:</w:t>
      </w:r>
    </w:p>
    <w:p>
      <w:pPr>
        <w:spacing w:after="0" w:line="30" w:lineRule="exact"/>
        <w:rPr>
          <w:sz w:val="20"/>
          <w:szCs w:val="20"/>
          <w:color w:val="auto"/>
        </w:rPr>
      </w:pPr>
    </w:p>
    <w:p>
      <w:pPr>
        <w:ind w:left="1260" w:right="839" w:hanging="179"/>
        <w:spacing w:after="0" w:line="250" w:lineRule="auto"/>
        <w:tabs>
          <w:tab w:leader="none" w:pos="1260" w:val="left"/>
        </w:tabs>
        <w:numPr>
          <w:ilvl w:val="0"/>
          <w:numId w:val="73"/>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recommending to our board of directors for approval the frequency with which we conduct an advisory vote on executive compensation, taking into account the results of the most recent stockholder advisory vote on the frequency of the advisory vote on executive compensation, and reviewing and approving the proposals regarding the frequency of the advisory vote on executive compensation to be included in our annual meeting proxy statements; and</w:t>
      </w:r>
    </w:p>
    <w:p>
      <w:pPr>
        <w:spacing w:after="0" w:line="52" w:lineRule="exact"/>
        <w:rPr>
          <w:rFonts w:ascii="Times New Roman" w:cs="Times New Roman" w:eastAsia="Times New Roman" w:hAnsi="Times New Roman"/>
          <w:sz w:val="14"/>
          <w:szCs w:val="14"/>
          <w:color w:val="auto"/>
        </w:rPr>
      </w:pPr>
    </w:p>
    <w:p>
      <w:pPr>
        <w:ind w:left="1260" w:right="739" w:hanging="179"/>
        <w:spacing w:after="0" w:line="260" w:lineRule="auto"/>
        <w:tabs>
          <w:tab w:leader="none" w:pos="1260" w:val="left"/>
        </w:tabs>
        <w:numPr>
          <w:ilvl w:val="0"/>
          <w:numId w:val="73"/>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and discussing with management our Compensation Discussion and Analysis, and recommending to our board of directors that the Compensation Discussion and Analysis be approved for inclusion in our Annual Reports on Form 10-K, registration statements and our annual meeting proxy statements.</w:t>
      </w:r>
    </w:p>
    <w:p>
      <w:pPr>
        <w:spacing w:after="0" w:line="45" w:lineRule="exact"/>
        <w:rPr>
          <w:sz w:val="20"/>
          <w:szCs w:val="20"/>
          <w:color w:val="auto"/>
        </w:rPr>
      </w:pPr>
    </w:p>
    <w:p>
      <w:pPr>
        <w:ind w:left="640" w:right="779" w:firstLine="438"/>
        <w:spacing w:after="0" w:line="282" w:lineRule="auto"/>
        <w:rPr>
          <w:sz w:val="20"/>
          <w:szCs w:val="20"/>
          <w:color w:val="auto"/>
        </w:rPr>
      </w:pPr>
      <w:r>
        <w:rPr>
          <w:rFonts w:ascii="Arial" w:cs="Arial" w:eastAsia="Arial" w:hAnsi="Arial"/>
          <w:sz w:val="14"/>
          <w:szCs w:val="14"/>
          <w:color w:val="auto"/>
        </w:rPr>
        <w:t>The Compensation Committee may delegate authority to our Chief Executive Officer or other executive officers to act under our equity incentive plans, subject to certain limitations.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Nominating and Governance Committee</w:t>
      </w:r>
    </w:p>
    <w:p>
      <w:pPr>
        <w:spacing w:after="0" w:line="84" w:lineRule="exact"/>
        <w:rPr>
          <w:sz w:val="20"/>
          <w:szCs w:val="20"/>
          <w:color w:val="auto"/>
        </w:rPr>
      </w:pPr>
    </w:p>
    <w:p>
      <w:pPr>
        <w:ind w:left="640" w:right="679" w:firstLine="438"/>
        <w:spacing w:after="0" w:line="247" w:lineRule="auto"/>
        <w:rPr>
          <w:sz w:val="20"/>
          <w:szCs w:val="20"/>
          <w:color w:val="auto"/>
        </w:rPr>
      </w:pPr>
      <w:r>
        <w:rPr>
          <w:rFonts w:ascii="Arial" w:cs="Arial" w:eastAsia="Arial" w:hAnsi="Arial"/>
          <w:sz w:val="14"/>
          <w:szCs w:val="14"/>
          <w:color w:val="auto"/>
        </w:rPr>
        <w:t>The Nominating and Governance Committee is comprised of           ,           ,           and           , with           serving as Chair of the Nominating and Governance Committee. Our board of directors has determined that each member of the Nominating and Governance Committee is “independent” under the Nasdaq Rules and the rules of the SEC. The responsibilities of the Nominating and Governance Committee are included in its written charter. The Nominating and Governance Committee acts on behalf of our board of directors to fulfill our board of directors’ responsibilities in overseeing all aspects of our nominating and corporate governance functions. The functions of the Nominating and Governance Committee include, among others:</w:t>
      </w:r>
    </w:p>
    <w:p>
      <w:pPr>
        <w:spacing w:after="0" w:line="54" w:lineRule="exact"/>
        <w:rPr>
          <w:sz w:val="20"/>
          <w:szCs w:val="20"/>
          <w:color w:val="auto"/>
        </w:rPr>
      </w:pPr>
    </w:p>
    <w:p>
      <w:pPr>
        <w:ind w:left="1260" w:right="879" w:hanging="179"/>
        <w:spacing w:after="0" w:line="260" w:lineRule="auto"/>
        <w:tabs>
          <w:tab w:leader="none" w:pos="1260" w:val="left"/>
        </w:tabs>
        <w:numPr>
          <w:ilvl w:val="0"/>
          <w:numId w:val="74"/>
        </w:numPr>
        <w:rPr>
          <w:rFonts w:ascii="Times New Roman" w:cs="Times New Roman" w:eastAsia="Times New Roman" w:hAnsi="Times New Roman"/>
          <w:sz w:val="14"/>
          <w:szCs w:val="14"/>
          <w:color w:val="auto"/>
        </w:rPr>
      </w:pPr>
      <w:r>
        <w:rPr>
          <w:rFonts w:ascii="Arial" w:cs="Arial" w:eastAsia="Arial" w:hAnsi="Arial"/>
          <w:sz w:val="14"/>
          <w:szCs w:val="14"/>
          <w:color w:val="auto"/>
        </w:rPr>
        <w:t>considering corporate governance matters and related legal requirements and periodically reviewing our corporate governance framework, including our Certificate of Incorporation, Bylaws and other arrangements affecting corporate governance and submitting recommended changes to our board of directors for approval;</w:t>
      </w:r>
    </w:p>
    <w:p>
      <w:pPr>
        <w:spacing w:after="0" w:line="45"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74"/>
        </w:numPr>
        <w:rPr>
          <w:rFonts w:ascii="Times New Roman" w:cs="Times New Roman" w:eastAsia="Times New Roman" w:hAnsi="Times New Roman"/>
          <w:sz w:val="14"/>
          <w:szCs w:val="14"/>
          <w:color w:val="auto"/>
        </w:rPr>
      </w:pPr>
      <w:r>
        <w:rPr>
          <w:rFonts w:ascii="Arial" w:cs="Arial" w:eastAsia="Arial" w:hAnsi="Arial"/>
          <w:sz w:val="14"/>
          <w:szCs w:val="14"/>
          <w:color w:val="auto"/>
        </w:rPr>
        <w:t>developing and recommending to our board of directors the selection criteria for candidates to join our board of directors;</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4"/>
        </w:numPr>
        <w:rPr>
          <w:rFonts w:ascii="Times New Roman" w:cs="Times New Roman" w:eastAsia="Times New Roman" w:hAnsi="Times New Roman"/>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96" w:lineRule="exact"/>
        <w:rPr>
          <w:rFonts w:ascii="Times New Roman" w:cs="Times New Roman" w:eastAsia="Times New Roman" w:hAnsi="Times New Roman"/>
          <w:sz w:val="14"/>
          <w:szCs w:val="14"/>
          <w:color w:val="auto"/>
        </w:rPr>
      </w:pPr>
    </w:p>
    <w:p>
      <w:pPr>
        <w:ind w:left="1260" w:right="779" w:hanging="179"/>
        <w:spacing w:after="0" w:line="281" w:lineRule="auto"/>
        <w:tabs>
          <w:tab w:leader="none" w:pos="1260" w:val="left"/>
        </w:tabs>
        <w:numPr>
          <w:ilvl w:val="0"/>
          <w:numId w:val="74"/>
        </w:numPr>
        <w:rPr>
          <w:rFonts w:ascii="Times New Roman" w:cs="Times New Roman" w:eastAsia="Times New Roman" w:hAnsi="Times New Roman"/>
          <w:sz w:val="14"/>
          <w:szCs w:val="14"/>
          <w:color w:val="auto"/>
        </w:rPr>
      </w:pPr>
      <w:r>
        <w:rPr>
          <w:rFonts w:ascii="Arial" w:cs="Arial" w:eastAsia="Arial" w:hAnsi="Arial"/>
          <w:sz w:val="14"/>
          <w:szCs w:val="14"/>
          <w:color w:val="auto"/>
        </w:rPr>
        <w:t>overseeing the process of evaluating the performance of our board of directors and its committees and making recommendations with respect to the composition of the committees of our board of directors;</w:t>
      </w:r>
    </w:p>
    <w:p>
      <w:pPr>
        <w:spacing w:after="0" w:line="30" w:lineRule="exact"/>
        <w:rPr>
          <w:rFonts w:ascii="Times New Roman" w:cs="Times New Roman" w:eastAsia="Times New Roman" w:hAnsi="Times New Roman"/>
          <w:sz w:val="14"/>
          <w:szCs w:val="14"/>
          <w:color w:val="auto"/>
        </w:rPr>
      </w:pPr>
    </w:p>
    <w:p>
      <w:pPr>
        <w:ind w:left="1260" w:right="919" w:hanging="179"/>
        <w:spacing w:after="0" w:line="281" w:lineRule="auto"/>
        <w:tabs>
          <w:tab w:leader="none" w:pos="1260" w:val="left"/>
        </w:tabs>
        <w:numPr>
          <w:ilvl w:val="0"/>
          <w:numId w:val="74"/>
        </w:numPr>
        <w:rPr>
          <w:rFonts w:ascii="Times New Roman" w:cs="Times New Roman" w:eastAsia="Times New Roman" w:hAnsi="Times New Roman"/>
          <w:sz w:val="14"/>
          <w:szCs w:val="14"/>
          <w:color w:val="auto"/>
        </w:rPr>
      </w:pPr>
      <w:r>
        <w:rPr>
          <w:rFonts w:ascii="Arial" w:cs="Arial" w:eastAsia="Arial" w:hAnsi="Arial"/>
          <w:sz w:val="14"/>
          <w:szCs w:val="14"/>
          <w:color w:val="auto"/>
        </w:rPr>
        <w:t>evaluating and presenting to our board of directors the committee’s determination as to the independence of each director and director candidate;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3" w:name="page194"/>
    <w:bookmarkEnd w:id="19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779" w:hanging="179"/>
        <w:spacing w:after="0" w:line="260" w:lineRule="auto"/>
        <w:tabs>
          <w:tab w:leader="none" w:pos="1260" w:val="left"/>
        </w:tabs>
        <w:numPr>
          <w:ilvl w:val="0"/>
          <w:numId w:val="75"/>
        </w:numPr>
        <w:rPr>
          <w:rFonts w:ascii="Times New Roman" w:cs="Times New Roman" w:eastAsia="Times New Roman" w:hAnsi="Times New Roman"/>
          <w:sz w:val="14"/>
          <w:szCs w:val="14"/>
          <w:color w:val="auto"/>
        </w:rPr>
      </w:pPr>
      <w:r>
        <w:rPr>
          <w:rFonts w:ascii="Arial" w:cs="Arial" w:eastAsia="Arial" w:hAnsi="Arial"/>
          <w:sz w:val="14"/>
          <w:szCs w:val="14"/>
          <w:color w:val="auto"/>
        </w:rPr>
        <w:t>considering any stockholder proposal submitted for inclusion in our proxy materials and make a recommendation to our board of directors regarding whether the proposal should be included or excluded from our proxy materials; and</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5"/>
        </w:numPr>
        <w:rPr>
          <w:rFonts w:ascii="Times New Roman" w:cs="Times New Roman" w:eastAsia="Times New Roman" w:hAnsi="Times New Roman"/>
          <w:sz w:val="14"/>
          <w:szCs w:val="14"/>
          <w:color w:val="auto"/>
        </w:rPr>
      </w:pPr>
      <w:r>
        <w:rPr>
          <w:rFonts w:ascii="Arial" w:cs="Arial" w:eastAsia="Arial" w:hAnsi="Arial"/>
          <w:sz w:val="14"/>
          <w:szCs w:val="14"/>
          <w:color w:val="auto"/>
        </w:rPr>
        <w:t>reviewing proposed waivers of the code of conduct and ethics for directors and executive officers.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86"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None of the members of the Compensation Committee has at any time been one of our officers or employees. None of our executive officers currently serve, or in the past fiscal year has served, as a member of the board of directors or the compensation committee of any entity that has one or more executive officers on our board of directors or the Compensation Committee.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Non-Employee Director Compensation</w:t>
      </w:r>
    </w:p>
    <w:p>
      <w:pPr>
        <w:spacing w:after="0" w:line="86"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The following table presents the total compensation for each person who served as a non-employee member of our board of directors during the year ended December 31, 2025. Other than as set forth in the table and described more fully below, in 2025 we did not pay any compensation, or grant any equity awards or non-equity awards, to any of the non-employee members of our board of directors. Dr. Glick, our President and Chief Executive Officer, also served on our board of directors during the year ended December 31, 2025, but did not receive any additional compensation for his service as a director. See the section of this prospectus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for more information regarding the compensation earned by Dr. Glick.</w:t>
      </w:r>
    </w:p>
    <w:p>
      <w:pPr>
        <w:spacing w:after="0" w:line="54"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We have reimbursed and will continue to reimburse all of our non-employee directors for their reasonable out-of-pocket expenses incurred in attending board of directors and committee meetings. Prior to this offering certain of our directors were party to agreements governing the terms of their service as directors and their compensation. Each of these agreements have been terminated and all of our non -employee directors will be compensated according to our Non-Employee Director Compensation Framework described in greater detail below.</w:t>
      </w:r>
    </w:p>
    <w:p>
      <w:pPr>
        <w:spacing w:after="0" w:line="53" w:lineRule="exact"/>
        <w:rPr>
          <w:sz w:val="20"/>
          <w:szCs w:val="20"/>
          <w:color w:val="auto"/>
        </w:rPr>
      </w:pPr>
    </w:p>
    <w:p>
      <w:pPr>
        <w:ind w:left="640" w:right="1019" w:firstLine="443"/>
        <w:spacing w:after="0" w:line="282" w:lineRule="auto"/>
        <w:rPr>
          <w:sz w:val="20"/>
          <w:szCs w:val="20"/>
          <w:color w:val="auto"/>
        </w:rPr>
      </w:pPr>
      <w:r>
        <w:rPr>
          <w:rFonts w:ascii="Arial" w:cs="Arial" w:eastAsia="Arial" w:hAnsi="Arial"/>
          <w:sz w:val="14"/>
          <w:szCs w:val="14"/>
          <w:color w:val="auto"/>
        </w:rPr>
        <w:t>The following table sets forth information regarding the compensation awarded to our non-employee directors during the year ended December 31, 2025.</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Fees Earned</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or Paid in</w:t>
            </w:r>
          </w:p>
        </w:tc>
        <w:tc>
          <w:tcPr>
            <w:tcW w:w="12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Option</w:t>
            </w:r>
          </w:p>
        </w:tc>
        <w:tc>
          <w:tcPr>
            <w:tcW w:w="1240" w:type="dxa"/>
            <w:vAlign w:val="bottom"/>
          </w:tcPr>
          <w:p>
            <w:pPr>
              <w:spacing w:after="0"/>
              <w:rPr>
                <w:sz w:val="11"/>
                <w:szCs w:val="11"/>
                <w:color w:val="auto"/>
              </w:rPr>
            </w:pPr>
          </w:p>
        </w:tc>
      </w:tr>
      <w:tr>
        <w:trPr>
          <w:trHeight w:val="129"/>
        </w:trPr>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Cash</w:t>
            </w:r>
          </w:p>
        </w:tc>
        <w:tc>
          <w:tcPr>
            <w:tcW w:w="12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Awards</w:t>
            </w:r>
          </w:p>
        </w:tc>
        <w:tc>
          <w:tcPr>
            <w:tcW w:w="1240" w:type="dxa"/>
            <w:vAlign w:val="bottom"/>
          </w:tcPr>
          <w:p>
            <w:pPr>
              <w:spacing w:after="0"/>
              <w:rPr>
                <w:sz w:val="11"/>
                <w:szCs w:val="11"/>
                <w:color w:val="auto"/>
              </w:rPr>
            </w:pPr>
          </w:p>
        </w:tc>
      </w:tr>
      <w:tr>
        <w:trPr>
          <w:trHeight w:val="137"/>
        </w:trPr>
        <w:tc>
          <w:tcPr>
            <w:tcW w:w="374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320" w:type="dxa"/>
            <w:vAlign w:val="bottom"/>
            <w:gridSpan w:val="2"/>
          </w:tcPr>
          <w:p>
            <w:pPr>
              <w:jc w:val="center"/>
              <w:ind w:left="151"/>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1120" w:type="dxa"/>
            <w:vAlign w:val="bottom"/>
          </w:tcPr>
          <w:p>
            <w:pPr>
              <w:jc w:val="center"/>
              <w:ind w:left="11"/>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5"/>
                <w:szCs w:val="5"/>
                <w:b w:val="1"/>
                <w:bCs w:val="1"/>
                <w:color w:val="auto"/>
              </w:rPr>
              <w:t>(1)</w:t>
            </w:r>
          </w:p>
        </w:tc>
        <w:tc>
          <w:tcPr>
            <w:tcW w:w="160" w:type="dxa"/>
            <w:vAlign w:val="bottom"/>
          </w:tcPr>
          <w:p>
            <w:pPr>
              <w:spacing w:after="0"/>
              <w:rPr>
                <w:sz w:val="11"/>
                <w:szCs w:val="11"/>
                <w:color w:val="auto"/>
              </w:rPr>
            </w:pPr>
          </w:p>
        </w:tc>
        <w:tc>
          <w:tcPr>
            <w:tcW w:w="1240" w:type="dxa"/>
            <w:vAlign w:val="bottom"/>
          </w:tcPr>
          <w:p>
            <w:pPr>
              <w:jc w:val="right"/>
              <w:ind w:right="370"/>
              <w:spacing w:after="0"/>
              <w:rPr>
                <w:sz w:val="20"/>
                <w:szCs w:val="20"/>
                <w:color w:val="auto"/>
              </w:rPr>
            </w:pPr>
            <w:r>
              <w:rPr>
                <w:rFonts w:ascii="Arial" w:cs="Arial" w:eastAsia="Arial" w:hAnsi="Arial"/>
                <w:sz w:val="11"/>
                <w:szCs w:val="11"/>
                <w:b w:val="1"/>
                <w:bCs w:val="1"/>
                <w:color w:val="auto"/>
              </w:rPr>
              <w:t>Total ($)</w:t>
            </w:r>
          </w:p>
        </w:tc>
      </w:tr>
      <w:tr>
        <w:trPr>
          <w:trHeight w:val="148"/>
        </w:trPr>
        <w:tc>
          <w:tcPr>
            <w:tcW w:w="374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Jeffrey M. Leiden, M.D., Ph.D.</w:t>
            </w:r>
            <w:r>
              <w:rPr>
                <w:rFonts w:ascii="Arial" w:cs="Arial" w:eastAsia="Arial" w:hAnsi="Arial"/>
                <w:sz w:val="7"/>
                <w:szCs w:val="7"/>
                <w:color w:val="auto"/>
              </w:rPr>
              <w:t>(2)</w:t>
            </w:r>
          </w:p>
        </w:tc>
        <w:tc>
          <w:tcPr>
            <w:tcW w:w="1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201,307</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1,335,049</w:t>
            </w:r>
          </w:p>
        </w:tc>
        <w:tc>
          <w:tcPr>
            <w:tcW w:w="160" w:type="dxa"/>
            <w:vAlign w:val="bottom"/>
          </w:tcPr>
          <w:p>
            <w:pPr>
              <w:spacing w:after="0"/>
              <w:rPr>
                <w:sz w:val="12"/>
                <w:szCs w:val="12"/>
                <w:color w:val="auto"/>
              </w:rPr>
            </w:pPr>
          </w:p>
        </w:tc>
        <w:tc>
          <w:tcPr>
            <w:tcW w:w="1240" w:type="dxa"/>
            <w:vAlign w:val="bottom"/>
            <w:tcBorders>
              <w:top w:val="single" w:sz="8" w:color="auto"/>
            </w:tcBorders>
          </w:tcPr>
          <w:p>
            <w:pPr>
              <w:jc w:val="right"/>
              <w:ind w:right="90"/>
              <w:spacing w:after="0" w:line="148" w:lineRule="exact"/>
              <w:rPr>
                <w:sz w:val="20"/>
                <w:szCs w:val="20"/>
                <w:color w:val="auto"/>
              </w:rPr>
            </w:pPr>
            <w:r>
              <w:rPr>
                <w:rFonts w:ascii="Arial" w:cs="Arial" w:eastAsia="Arial" w:hAnsi="Arial"/>
                <w:sz w:val="14"/>
                <w:szCs w:val="14"/>
                <w:color w:val="auto"/>
              </w:rPr>
              <w:t>1,536,356</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Jill Carroll</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Shelley Chu, M.D., Ph.D.</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Carl L. Gordon, Ph.D., CFA</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Paulina Hill, Ph.D.</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Nan Li</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Carolyn Ng, Ph.D.</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Valerie Odegard, Ph.D.</w:t>
            </w:r>
            <w:r>
              <w:rPr>
                <w:rFonts w:ascii="Arial" w:cs="Arial" w:eastAsia="Arial" w:hAnsi="Arial"/>
                <w:sz w:val="7"/>
                <w:szCs w:val="7"/>
                <w:color w:val="auto"/>
              </w:rPr>
              <w:t>(3)</w:t>
            </w:r>
          </w:p>
        </w:tc>
        <w:tc>
          <w:tcPr>
            <w:tcW w:w="1480" w:type="dxa"/>
            <w:vAlign w:val="bottom"/>
            <w:gridSpan w:val="3"/>
          </w:tcPr>
          <w:p>
            <w:pPr>
              <w:jc w:val="right"/>
              <w:ind w:right="160"/>
              <w:spacing w:after="0"/>
              <w:rPr>
                <w:sz w:val="20"/>
                <w:szCs w:val="20"/>
                <w:color w:val="auto"/>
              </w:rPr>
            </w:pPr>
            <w:r>
              <w:rPr>
                <w:rFonts w:ascii="Arial" w:cs="Arial" w:eastAsia="Arial" w:hAnsi="Arial"/>
                <w:sz w:val="14"/>
                <w:szCs w:val="14"/>
                <w:color w:val="auto"/>
              </w:rPr>
              <w:t>51,727</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385,410</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437,137</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Ksenija Pavletic</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Ian F. Smith</w:t>
            </w:r>
          </w:p>
        </w:tc>
        <w:tc>
          <w:tcPr>
            <w:tcW w:w="1480" w:type="dxa"/>
            <w:vAlign w:val="bottom"/>
            <w:gridSpan w:val="3"/>
          </w:tcPr>
          <w:p>
            <w:pPr>
              <w:jc w:val="right"/>
              <w:ind w:right="160"/>
              <w:spacing w:after="0"/>
              <w:rPr>
                <w:sz w:val="20"/>
                <w:szCs w:val="20"/>
                <w:color w:val="auto"/>
              </w:rPr>
            </w:pPr>
            <w:r>
              <w:rPr>
                <w:rFonts w:ascii="Arial" w:cs="Arial" w:eastAsia="Arial" w:hAnsi="Arial"/>
                <w:sz w:val="14"/>
                <w:szCs w:val="14"/>
                <w:color w:val="auto"/>
              </w:rPr>
              <w:t>150,000</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553,846</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703,846</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Nia Tatsis, Ph.D.</w:t>
            </w:r>
            <w:r>
              <w:rPr>
                <w:rFonts w:ascii="Arial" w:cs="Arial" w:eastAsia="Arial" w:hAnsi="Arial"/>
                <w:sz w:val="7"/>
                <w:szCs w:val="7"/>
                <w:color w:val="auto"/>
              </w:rPr>
              <w:t>(4)</w:t>
            </w:r>
          </w:p>
        </w:tc>
        <w:tc>
          <w:tcPr>
            <w:tcW w:w="1480" w:type="dxa"/>
            <w:vAlign w:val="bottom"/>
            <w:gridSpan w:val="3"/>
          </w:tcPr>
          <w:p>
            <w:pPr>
              <w:jc w:val="right"/>
              <w:ind w:right="160"/>
              <w:spacing w:after="0"/>
              <w:rPr>
                <w:sz w:val="20"/>
                <w:szCs w:val="20"/>
                <w:color w:val="auto"/>
              </w:rPr>
            </w:pPr>
            <w:r>
              <w:rPr>
                <w:rFonts w:ascii="Arial" w:cs="Arial" w:eastAsia="Arial" w:hAnsi="Arial"/>
                <w:sz w:val="14"/>
                <w:szCs w:val="14"/>
                <w:color w:val="auto"/>
              </w:rPr>
              <w:t>37,500</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648,757</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686,257</w:t>
            </w:r>
          </w:p>
        </w:tc>
      </w:tr>
      <w:tr>
        <w:trPr>
          <w:trHeight w:val="190"/>
        </w:trPr>
        <w:tc>
          <w:tcPr>
            <w:tcW w:w="3740" w:type="dxa"/>
            <w:vAlign w:val="bottom"/>
          </w:tcPr>
          <w:p>
            <w:pPr>
              <w:spacing w:after="0"/>
              <w:rPr>
                <w:sz w:val="20"/>
                <w:szCs w:val="20"/>
                <w:color w:val="auto"/>
              </w:rPr>
            </w:pPr>
            <w:r>
              <w:rPr>
                <w:rFonts w:ascii="Arial" w:cs="Arial" w:eastAsia="Arial" w:hAnsi="Arial"/>
                <w:sz w:val="14"/>
                <w:szCs w:val="14"/>
                <w:color w:val="auto"/>
              </w:rPr>
              <w:t>Timothy P. Walbert</w:t>
            </w:r>
            <w:r>
              <w:rPr>
                <w:rFonts w:ascii="Arial" w:cs="Arial" w:eastAsia="Arial" w:hAnsi="Arial"/>
                <w:sz w:val="7"/>
                <w:szCs w:val="7"/>
                <w:color w:val="auto"/>
              </w:rPr>
              <w:t>(5)</w:t>
            </w:r>
          </w:p>
        </w:tc>
        <w:tc>
          <w:tcPr>
            <w:tcW w:w="1480" w:type="dxa"/>
            <w:vAlign w:val="bottom"/>
            <w:gridSpan w:val="3"/>
          </w:tcPr>
          <w:p>
            <w:pPr>
              <w:jc w:val="right"/>
              <w:ind w:right="160"/>
              <w:spacing w:after="0"/>
              <w:rPr>
                <w:sz w:val="20"/>
                <w:szCs w:val="20"/>
                <w:color w:val="auto"/>
              </w:rPr>
            </w:pPr>
            <w:r>
              <w:rPr>
                <w:rFonts w:ascii="Arial" w:cs="Arial" w:eastAsia="Arial" w:hAnsi="Arial"/>
                <w:sz w:val="14"/>
                <w:szCs w:val="14"/>
                <w:color w:val="auto"/>
              </w:rPr>
              <w:t>150,000</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443,164</w:t>
            </w: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593,164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120650</wp:posOffset>
            </wp:positionV>
            <wp:extent cx="45720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7200" cy="6985"/>
                    </a:xfrm>
                    <a:prstGeom prst="rect">
                      <a:avLst/>
                    </a:prstGeom>
                    <a:noFill/>
                  </pic:spPr>
                </pic:pic>
              </a:graphicData>
            </a:graphic>
          </wp:anchor>
        </w:drawing>
      </w:r>
    </w:p>
    <w:p>
      <w:pPr>
        <w:spacing w:after="0" w:line="209" w:lineRule="exact"/>
        <w:rPr>
          <w:sz w:val="20"/>
          <w:szCs w:val="20"/>
          <w:color w:val="auto"/>
        </w:rPr>
      </w:pPr>
    </w:p>
    <w:p>
      <w:pPr>
        <w:ind w:left="1080" w:right="679" w:hanging="442"/>
        <w:spacing w:after="0" w:line="246" w:lineRule="auto"/>
        <w:tabs>
          <w:tab w:leader="none" w:pos="10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aggregate grant date fair value of the stock options awarded to our non-employee directors during fiscal year 2025, calculated in accordance with Financial Accounting Standards Board, or FASB, Accounting Standards Codification, or ASC, Topic 718. The assumptions used in calculating the grant date fair value of the awards reported in this column are set forth in Note 13 to our audited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w:t>
      </w:r>
    </w:p>
    <w:p>
      <w:pPr>
        <w:spacing w:after="0" w:line="54" w:lineRule="exact"/>
        <w:rPr>
          <w:rFonts w:ascii="Arial" w:cs="Arial" w:eastAsia="Arial" w:hAnsi="Arial"/>
          <w:sz w:val="14"/>
          <w:szCs w:val="14"/>
          <w:color w:val="auto"/>
        </w:rPr>
      </w:pPr>
    </w:p>
    <w:p>
      <w:pPr>
        <w:ind w:left="1080" w:right="799" w:hanging="442"/>
        <w:spacing w:after="0" w:line="282" w:lineRule="auto"/>
        <w:tabs>
          <w:tab w:leader="none" w:pos="10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As of December 31, 2025, Dr. Leiden held options to purchase an aggregate of 3,144,831 shares of our common stock.</w:t>
      </w:r>
    </w:p>
    <w:p>
      <w:pPr>
        <w:spacing w:after="0" w:line="29" w:lineRule="exact"/>
        <w:rPr>
          <w:rFonts w:ascii="Arial" w:cs="Arial" w:eastAsia="Arial" w:hAnsi="Arial"/>
          <w:sz w:val="14"/>
          <w:szCs w:val="14"/>
          <w:color w:val="auto"/>
        </w:rPr>
      </w:pPr>
    </w:p>
    <w:p>
      <w:pPr>
        <w:ind w:left="1080" w:right="659" w:hanging="442"/>
        <w:spacing w:after="0" w:line="282" w:lineRule="auto"/>
        <w:tabs>
          <w:tab w:leader="none" w:pos="10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As of December 31, 2025, Dr. Odegard held options to purchase an aggregate of 1,285,828 shares of our common stock.</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4" w:name="page195"/>
    <w:bookmarkEnd w:id="19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80" w:right="839" w:hanging="442"/>
        <w:spacing w:after="0" w:line="282" w:lineRule="auto"/>
        <w:tabs>
          <w:tab w:leader="none" w:pos="10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of December 31, 2025, Dr. Tatsis held options to purchase an aggregate of 1,909,363 shares of our common stock.</w:t>
      </w:r>
    </w:p>
    <w:p>
      <w:pPr>
        <w:spacing w:after="0" w:line="29" w:lineRule="exact"/>
        <w:rPr>
          <w:rFonts w:ascii="Arial" w:cs="Arial" w:eastAsia="Arial" w:hAnsi="Arial"/>
          <w:sz w:val="14"/>
          <w:szCs w:val="14"/>
          <w:color w:val="auto"/>
        </w:rPr>
      </w:pPr>
    </w:p>
    <w:p>
      <w:pPr>
        <w:ind w:left="1080" w:right="719" w:hanging="442"/>
        <w:spacing w:after="0" w:line="282" w:lineRule="auto"/>
        <w:tabs>
          <w:tab w:leader="none" w:pos="10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of December 31, 2025, Mr. Walbert held options to purchase an aggregate of 1,909,363 shares of our common stock.</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Non-Employee Director Compensation Framework</w:t>
      </w:r>
    </w:p>
    <w:p>
      <w:pPr>
        <w:spacing w:after="0" w:line="86" w:lineRule="exact"/>
        <w:rPr>
          <w:sz w:val="20"/>
          <w:szCs w:val="20"/>
          <w:color w:val="auto"/>
        </w:rPr>
      </w:pPr>
    </w:p>
    <w:p>
      <w:pPr>
        <w:ind w:left="640" w:right="739" w:firstLine="438"/>
        <w:spacing w:after="0" w:line="254" w:lineRule="auto"/>
        <w:rPr>
          <w:sz w:val="20"/>
          <w:szCs w:val="20"/>
          <w:color w:val="auto"/>
        </w:rPr>
      </w:pPr>
      <w:r>
        <w:rPr>
          <w:rFonts w:ascii="Arial" w:cs="Arial" w:eastAsia="Arial" w:hAnsi="Arial"/>
          <w:sz w:val="14"/>
          <w:szCs w:val="14"/>
          <w:color w:val="auto"/>
        </w:rPr>
        <w:t>Effective upon the closing of this offering, our non-employee directors will be compensated in accordance with our non-employee director compensation framework, or the Director Compensation Framework. Pursuant to the Director Compensation Framework, our non-employee directors will receive cash compensation, paid quarterly in arrears, as follows:</w:t>
      </w:r>
    </w:p>
    <w:p>
      <w:pPr>
        <w:spacing w:after="0" w:line="163"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Board of Directors</w:t>
            </w: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Annual Cash Retainer</w:t>
            </w:r>
          </w:p>
        </w:tc>
        <w:tc>
          <w:tcPr>
            <w:tcW w:w="0" w:type="dxa"/>
            <w:vAlign w:val="bottom"/>
          </w:tcPr>
          <w:p>
            <w:pPr>
              <w:spacing w:after="0"/>
              <w:rPr>
                <w:sz w:val="1"/>
                <w:szCs w:val="1"/>
                <w:color w:val="auto"/>
              </w:rPr>
            </w:pPr>
          </w:p>
        </w:tc>
      </w:tr>
      <w:tr>
        <w:trPr>
          <w:trHeight w:val="137"/>
        </w:trPr>
        <w:tc>
          <w:tcPr>
            <w:tcW w:w="524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color w:val="auto"/>
              </w:rPr>
              <w:t>All Non-Employee Directors</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color w:val="auto"/>
              </w:rPr>
              <w:t>Additional retainer for Independent Chair of the Board</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b w:val="1"/>
                <w:bCs w:val="1"/>
                <w:color w:val="auto"/>
              </w:rPr>
              <w:t>Audit Committee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color w:val="auto"/>
              </w:rPr>
              <w:t>Chair</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color w:val="auto"/>
              </w:rPr>
              <w:t>Non-Chair Member</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b w:val="1"/>
                <w:bCs w:val="1"/>
                <w:color w:val="auto"/>
              </w:rPr>
              <w:t>Compensation Committee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color w:val="auto"/>
              </w:rPr>
              <w:t>Chair</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color w:val="auto"/>
              </w:rPr>
              <w:t>Non-Chair Member</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b w:val="1"/>
                <w:bCs w:val="1"/>
                <w:color w:val="auto"/>
              </w:rPr>
              <w:t>Nominating and Governance Committee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4"/>
                <w:szCs w:val="14"/>
                <w:color w:val="auto"/>
              </w:rPr>
              <w:t>Chair</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20"/>
                <w:szCs w:val="20"/>
                <w:color w:val="auto"/>
              </w:rPr>
            </w:pPr>
            <w:r>
              <w:rPr>
                <w:rFonts w:ascii="Arial" w:cs="Arial" w:eastAsia="Arial" w:hAnsi="Arial"/>
                <w:sz w:val="14"/>
                <w:szCs w:val="14"/>
                <w:color w:val="auto"/>
              </w:rPr>
              <w:t>Non-Chair Member</w:t>
            </w:r>
          </w:p>
        </w:tc>
        <w:tc>
          <w:tcPr>
            <w:tcW w:w="1340" w:type="dxa"/>
            <w:vAlign w:val="bottom"/>
          </w:tcPr>
          <w:p>
            <w:pPr>
              <w:jc w:val="center"/>
              <w:ind w:left="3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40" w:right="799" w:firstLine="438"/>
        <w:spacing w:after="0" w:line="250" w:lineRule="auto"/>
        <w:rPr>
          <w:sz w:val="20"/>
          <w:szCs w:val="20"/>
          <w:color w:val="auto"/>
        </w:rPr>
      </w:pPr>
      <w:r>
        <w:rPr>
          <w:rFonts w:ascii="Arial" w:cs="Arial" w:eastAsia="Arial" w:hAnsi="Arial"/>
          <w:sz w:val="14"/>
          <w:szCs w:val="14"/>
          <w:color w:val="auto"/>
        </w:rPr>
        <w:t>In addition to the above, the Director Compensation Framework provides that each newly appointed director receive a stock option award to purchase $740,000 of our common stock, subject to certain caps. The initial award will have a ten-year term and vest over three years, with one-third vesting on the first anniversary of the grant, followed by monthly vesting thereafter in substantially equal installments, subject to continued service with us through the applicable vesting date.</w:t>
      </w:r>
    </w:p>
    <w:p>
      <w:pPr>
        <w:spacing w:after="0" w:line="53" w:lineRule="exact"/>
        <w:rPr>
          <w:sz w:val="20"/>
          <w:szCs w:val="20"/>
          <w:color w:val="auto"/>
        </w:rPr>
      </w:pPr>
    </w:p>
    <w:p>
      <w:pPr>
        <w:ind w:left="640" w:right="759" w:firstLine="438"/>
        <w:spacing w:after="0" w:line="254" w:lineRule="auto"/>
        <w:rPr>
          <w:sz w:val="20"/>
          <w:szCs w:val="20"/>
          <w:color w:val="auto"/>
        </w:rPr>
      </w:pPr>
      <w:r>
        <w:rPr>
          <w:rFonts w:ascii="Arial" w:cs="Arial" w:eastAsia="Arial" w:hAnsi="Arial"/>
          <w:sz w:val="14"/>
          <w:szCs w:val="14"/>
          <w:color w:val="auto"/>
        </w:rPr>
        <w:t>The Director Compensation Framework further provides that each director who continues to serve immediately following each annual meeting of our stockholders receive a stock option award to purchase $370,000 of our common stock. The annual award will have a ten-year term and vest upon upon the earlier of one year or the next annual meeting of our stockholders, subject to continued service with us through the applicable vesting date.</w:t>
      </w:r>
    </w:p>
    <w:p>
      <w:pPr>
        <w:spacing w:after="0" w:line="49" w:lineRule="exact"/>
        <w:rPr>
          <w:sz w:val="20"/>
          <w:szCs w:val="20"/>
          <w:color w:val="auto"/>
        </w:rPr>
      </w:pPr>
    </w:p>
    <w:p>
      <w:pPr>
        <w:ind w:left="640" w:right="679" w:firstLine="438"/>
        <w:spacing w:after="0" w:line="250" w:lineRule="auto"/>
        <w:rPr>
          <w:sz w:val="20"/>
          <w:szCs w:val="20"/>
          <w:color w:val="auto"/>
        </w:rPr>
      </w:pPr>
      <w:r>
        <w:rPr>
          <w:rFonts w:ascii="Arial" w:cs="Arial" w:eastAsia="Arial" w:hAnsi="Arial"/>
          <w:sz w:val="14"/>
          <w:szCs w:val="14"/>
          <w:color w:val="auto"/>
        </w:rPr>
        <w:t>If a director’s service with us terminates, other than for cause (as defined in the 2026 Plan), the unvested portion of their outstanding stock option awards granted under the 2026 Plan will be forfeited and the vested portion will remain exercisable until the tenth anniversary of the grant date. In the event a corporate transaction (as defined in the section of this prospectus titled “</w:t>
      </w:r>
      <w:r>
        <w:rPr>
          <w:rFonts w:ascii="Arial" w:cs="Arial" w:eastAsia="Arial" w:hAnsi="Arial"/>
          <w:sz w:val="14"/>
          <w:szCs w:val="14"/>
          <w:i w:val="1"/>
          <w:iCs w:val="1"/>
          <w:color w:val="auto"/>
        </w:rPr>
        <w:t>Executive Compensation—Equity Benefit Plans</w:t>
      </w:r>
      <w:r>
        <w:rPr>
          <w:rFonts w:ascii="Arial" w:cs="Arial" w:eastAsia="Arial" w:hAnsi="Arial"/>
          <w:sz w:val="14"/>
          <w:szCs w:val="14"/>
          <w:color w:val="auto"/>
        </w:rPr>
        <w:t>”) occurs during a director’s service, the vesting of any unvested portion of their outstanding stock option awards granted under the 2026 Plan will accelerate.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5" w:name="page196"/>
    <w:bookmarkEnd w:id="19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EXECUTIVE COMPENSATION</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Our named executive officers for the year ended December 31, 2025, are:</w:t>
      </w:r>
    </w:p>
    <w:p>
      <w:pPr>
        <w:spacing w:after="0" w:line="86" w:lineRule="exact"/>
        <w:rPr>
          <w:sz w:val="20"/>
          <w:szCs w:val="20"/>
          <w:color w:val="auto"/>
        </w:rPr>
      </w:pPr>
    </w:p>
    <w:p>
      <w:pPr>
        <w:ind w:left="1260" w:hanging="179"/>
        <w:spacing w:after="0"/>
        <w:tabs>
          <w:tab w:leader="none" w:pos="126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Gary D. Glick, Ph.D., our President and Chief Executive Officer;</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Jason Haas, our Chief Financial Officer; and</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Collin Todd, our Senior Vice President, Strategy and Business Development.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Summary Compensation Table</w:t>
      </w:r>
    </w:p>
    <w:p>
      <w:pPr>
        <w:spacing w:after="0" w:line="86" w:lineRule="exact"/>
        <w:rPr>
          <w:sz w:val="20"/>
          <w:szCs w:val="20"/>
          <w:color w:val="auto"/>
        </w:rPr>
      </w:pPr>
    </w:p>
    <w:p>
      <w:pPr>
        <w:ind w:left="640" w:right="919" w:firstLine="443"/>
        <w:spacing w:after="0" w:line="282" w:lineRule="auto"/>
        <w:rPr>
          <w:sz w:val="20"/>
          <w:szCs w:val="20"/>
          <w:color w:val="auto"/>
        </w:rPr>
      </w:pPr>
      <w:r>
        <w:rPr>
          <w:rFonts w:ascii="Arial" w:cs="Arial" w:eastAsia="Arial" w:hAnsi="Arial"/>
          <w:sz w:val="14"/>
          <w:szCs w:val="14"/>
          <w:color w:val="auto"/>
        </w:rPr>
        <w:t>The following table sets forth certain information with respect to the compensation paid to our named executive officers for the fiscal year ended December 31, 2025:</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jc w:val="center"/>
              <w:ind w:right="23"/>
              <w:spacing w:after="0"/>
              <w:rPr>
                <w:sz w:val="20"/>
                <w:szCs w:val="20"/>
                <w:color w:val="auto"/>
              </w:rPr>
            </w:pPr>
            <w:r>
              <w:rPr>
                <w:rFonts w:ascii="Arial" w:cs="Arial" w:eastAsia="Arial" w:hAnsi="Arial"/>
                <w:sz w:val="11"/>
                <w:szCs w:val="11"/>
                <w:b w:val="1"/>
                <w:bCs w:val="1"/>
                <w:color w:val="auto"/>
              </w:rPr>
              <w:t>Non-Equity</w:t>
            </w: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9"/>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jc w:val="center"/>
              <w:ind w:right="43"/>
              <w:spacing w:after="0"/>
              <w:rPr>
                <w:sz w:val="20"/>
                <w:szCs w:val="20"/>
                <w:color w:val="auto"/>
              </w:rPr>
            </w:pPr>
            <w:r>
              <w:rPr>
                <w:rFonts w:ascii="Arial" w:cs="Arial" w:eastAsia="Arial" w:hAnsi="Arial"/>
                <w:sz w:val="11"/>
                <w:szCs w:val="11"/>
                <w:b w:val="1"/>
                <w:bCs w:val="1"/>
                <w:color w:val="auto"/>
              </w:rPr>
              <w:t>Incentive</w:t>
            </w: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9"/>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Option</w:t>
            </w:r>
          </w:p>
        </w:tc>
        <w:tc>
          <w:tcPr>
            <w:tcW w:w="960" w:type="dxa"/>
            <w:vAlign w:val="bottom"/>
          </w:tcPr>
          <w:p>
            <w:pPr>
              <w:jc w:val="center"/>
              <w:ind w:right="23"/>
              <w:spacing w:after="0"/>
              <w:rPr>
                <w:sz w:val="20"/>
                <w:szCs w:val="20"/>
                <w:color w:val="auto"/>
              </w:rPr>
            </w:pPr>
            <w:r>
              <w:rPr>
                <w:rFonts w:ascii="Arial" w:cs="Arial" w:eastAsia="Arial" w:hAnsi="Arial"/>
                <w:sz w:val="11"/>
                <w:szCs w:val="11"/>
                <w:b w:val="1"/>
                <w:bCs w:val="1"/>
                <w:color w:val="auto"/>
              </w:rPr>
              <w:t>Plan</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All Other</w:t>
            </w:r>
          </w:p>
        </w:tc>
        <w:tc>
          <w:tcPr>
            <w:tcW w:w="540" w:type="dxa"/>
            <w:vAlign w:val="bottom"/>
          </w:tcPr>
          <w:p>
            <w:pPr>
              <w:spacing w:after="0"/>
              <w:rPr>
                <w:sz w:val="11"/>
                <w:szCs w:val="11"/>
                <w:color w:val="auto"/>
              </w:rPr>
            </w:pPr>
          </w:p>
        </w:tc>
      </w:tr>
      <w:tr>
        <w:trPr>
          <w:trHeight w:val="116"/>
        </w:trPr>
        <w:tc>
          <w:tcPr>
            <w:tcW w:w="1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Bonus</w:t>
            </w:r>
          </w:p>
        </w:tc>
        <w:tc>
          <w:tcPr>
            <w:tcW w:w="6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Awards</w:t>
            </w:r>
          </w:p>
        </w:tc>
        <w:tc>
          <w:tcPr>
            <w:tcW w:w="960" w:type="dxa"/>
            <w:vAlign w:val="bottom"/>
          </w:tcPr>
          <w:p>
            <w:pPr>
              <w:jc w:val="center"/>
              <w:ind w:right="23"/>
              <w:spacing w:after="0" w:line="116" w:lineRule="exact"/>
              <w:rPr>
                <w:sz w:val="20"/>
                <w:szCs w:val="20"/>
                <w:color w:val="auto"/>
              </w:rPr>
            </w:pPr>
            <w:r>
              <w:rPr>
                <w:rFonts w:ascii="Arial" w:cs="Arial" w:eastAsia="Arial" w:hAnsi="Arial"/>
                <w:sz w:val="11"/>
                <w:szCs w:val="11"/>
                <w:b w:val="1"/>
                <w:bCs w:val="1"/>
                <w:color w:val="auto"/>
              </w:rPr>
              <w:t>Compensatio</w:t>
            </w:r>
          </w:p>
        </w:tc>
        <w:tc>
          <w:tcPr>
            <w:tcW w:w="10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Compensation</w:t>
            </w:r>
          </w:p>
        </w:tc>
        <w:tc>
          <w:tcPr>
            <w:tcW w:w="540" w:type="dxa"/>
            <w:vAlign w:val="bottom"/>
          </w:tcPr>
          <w:p>
            <w:pPr>
              <w:spacing w:after="0"/>
              <w:rPr>
                <w:sz w:val="10"/>
                <w:szCs w:val="10"/>
                <w:color w:val="auto"/>
              </w:rPr>
            </w:pPr>
          </w:p>
        </w:tc>
      </w:tr>
      <w:tr>
        <w:trPr>
          <w:trHeight w:val="150"/>
        </w:trPr>
        <w:tc>
          <w:tcPr>
            <w:tcW w:w="1960" w:type="dxa"/>
            <w:vAlign w:val="bottom"/>
          </w:tcPr>
          <w:p>
            <w:pPr>
              <w:spacing w:after="0"/>
              <w:rPr>
                <w:sz w:val="20"/>
                <w:szCs w:val="20"/>
                <w:color w:val="auto"/>
              </w:rPr>
            </w:pPr>
            <w:r>
              <w:rPr>
                <w:rFonts w:ascii="Arial" w:cs="Arial" w:eastAsia="Arial" w:hAnsi="Arial"/>
                <w:sz w:val="11"/>
                <w:szCs w:val="11"/>
                <w:b w:val="1"/>
                <w:bCs w:val="1"/>
                <w:color w:val="auto"/>
              </w:rPr>
              <w:t>Name and Principal Position</w:t>
            </w:r>
          </w:p>
        </w:tc>
        <w:tc>
          <w:tcPr>
            <w:tcW w:w="920" w:type="dxa"/>
            <w:vAlign w:val="bottom"/>
          </w:tcPr>
          <w:p>
            <w:pPr>
              <w:ind w:left="420"/>
              <w:spacing w:after="0"/>
              <w:rPr>
                <w:sz w:val="20"/>
                <w:szCs w:val="20"/>
                <w:color w:val="auto"/>
              </w:rPr>
            </w:pPr>
            <w:r>
              <w:rPr>
                <w:rFonts w:ascii="Arial" w:cs="Arial" w:eastAsia="Arial" w:hAnsi="Arial"/>
                <w:sz w:val="11"/>
                <w:szCs w:val="11"/>
                <w:b w:val="1"/>
                <w:bCs w:val="1"/>
                <w:color w:val="auto"/>
              </w:rPr>
              <w:t>Year</w:t>
            </w:r>
          </w:p>
        </w:tc>
        <w:tc>
          <w:tcPr>
            <w:tcW w:w="880" w:type="dxa"/>
            <w:vAlign w:val="bottom"/>
          </w:tcPr>
          <w:p>
            <w:pPr>
              <w:ind w:left="240"/>
              <w:spacing w:after="0"/>
              <w:rPr>
                <w:sz w:val="20"/>
                <w:szCs w:val="20"/>
                <w:color w:val="auto"/>
              </w:rPr>
            </w:pPr>
            <w:r>
              <w:rPr>
                <w:rFonts w:ascii="Arial" w:cs="Arial" w:eastAsia="Arial" w:hAnsi="Arial"/>
                <w:sz w:val="11"/>
                <w:szCs w:val="11"/>
                <w:b w:val="1"/>
                <w:bCs w:val="1"/>
                <w:color w:val="auto"/>
              </w:rPr>
              <w:t xml:space="preserve">Salary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w:t>
            </w:r>
          </w:p>
        </w:tc>
        <w:tc>
          <w:tcPr>
            <w:tcW w:w="580" w:type="dxa"/>
            <w:vAlign w:val="bottom"/>
          </w:tcPr>
          <w:p>
            <w:pPr>
              <w:jc w:val="right"/>
              <w:ind w:right="163"/>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center"/>
              <w:spacing w:after="0" w:line="151" w:lineRule="exact"/>
              <w:rPr>
                <w:sz w:val="20"/>
                <w:szCs w:val="20"/>
                <w:color w:val="auto"/>
              </w:rPr>
            </w:pPr>
            <w:r>
              <w:rPr>
                <w:rFonts w:ascii="Arial" w:cs="Arial" w:eastAsia="Arial" w:hAnsi="Arial"/>
                <w:sz w:val="11"/>
                <w:szCs w:val="11"/>
                <w:b w:val="1"/>
                <w:bCs w:val="1"/>
                <w:color w:val="auto"/>
                <w:w w:val="93"/>
              </w:rPr>
              <w:t>($)</w:t>
            </w:r>
            <w:r>
              <w:rPr>
                <w:rFonts w:ascii="Arial" w:cs="Arial" w:eastAsia="Arial" w:hAnsi="Arial"/>
                <w:sz w:val="15"/>
                <w:szCs w:val="15"/>
                <w:b w:val="1"/>
                <w:bCs w:val="1"/>
                <w:color w:val="auto"/>
                <w:w w:val="93"/>
                <w:vertAlign w:val="superscript"/>
              </w:rPr>
              <w:t>(1)</w:t>
            </w:r>
          </w:p>
        </w:tc>
        <w:tc>
          <w:tcPr>
            <w:tcW w:w="960" w:type="dxa"/>
            <w:vAlign w:val="bottom"/>
          </w:tcPr>
          <w:p>
            <w:pPr>
              <w:jc w:val="center"/>
              <w:ind w:right="3"/>
              <w:spacing w:after="0" w:line="151" w:lineRule="exact"/>
              <w:rPr>
                <w:sz w:val="20"/>
                <w:szCs w:val="20"/>
                <w:color w:val="auto"/>
              </w:rPr>
            </w:pPr>
            <w:r>
              <w:rPr>
                <w:rFonts w:ascii="Arial" w:cs="Arial" w:eastAsia="Arial" w:hAnsi="Arial"/>
                <w:sz w:val="11"/>
                <w:szCs w:val="11"/>
                <w:b w:val="1"/>
                <w:bCs w:val="1"/>
                <w:color w:val="auto"/>
                <w:w w:val="95"/>
              </w:rPr>
              <w:t>n ($)</w:t>
            </w:r>
            <w:r>
              <w:rPr>
                <w:rFonts w:ascii="Arial" w:cs="Arial" w:eastAsia="Arial" w:hAnsi="Arial"/>
                <w:sz w:val="15"/>
                <w:szCs w:val="15"/>
                <w:b w:val="1"/>
                <w:bCs w:val="1"/>
                <w:color w:val="auto"/>
                <w:w w:val="95"/>
                <w:vertAlign w:val="superscript"/>
              </w:rPr>
              <w:t>(2)</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w w:val="98"/>
              </w:rPr>
              <w:t>Total ($)</w:t>
            </w:r>
          </w:p>
        </w:tc>
      </w:tr>
    </w:tbl>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210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Gary D. Glick, Ph.D.</w:t>
            </w: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4,692,</w:t>
            </w:r>
          </w:p>
        </w:tc>
        <w:tc>
          <w:tcPr>
            <w:tcW w:w="120" w:type="dxa"/>
            <w:vAlign w:val="bottom"/>
          </w:tcPr>
          <w:p>
            <w:pPr>
              <w:spacing w:after="0"/>
              <w:rPr>
                <w:sz w:val="12"/>
                <w:szCs w:val="12"/>
                <w:color w:val="auto"/>
              </w:rPr>
            </w:pPr>
          </w:p>
        </w:tc>
        <w:tc>
          <w:tcPr>
            <w:tcW w:w="920" w:type="dxa"/>
            <w:vAlign w:val="bottom"/>
            <w:tcBorders>
              <w:top w:val="single" w:sz="8" w:color="auto"/>
            </w:tcBorders>
            <w:vMerge w:val="restart"/>
          </w:tcPr>
          <w:p>
            <w:pPr>
              <w:jc w:val="right"/>
              <w:spacing w:after="0" w:line="30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2025</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558,900</w:t>
            </w: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082</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5,250,982</w:t>
            </w:r>
          </w:p>
        </w:tc>
        <w:tc>
          <w:tcPr>
            <w:tcW w:w="0" w:type="dxa"/>
            <w:vAlign w:val="bottom"/>
          </w:tcPr>
          <w:p>
            <w:pPr>
              <w:spacing w:after="0"/>
              <w:rPr>
                <w:sz w:val="1"/>
                <w:szCs w:val="1"/>
                <w:color w:val="auto"/>
              </w:rPr>
            </w:pPr>
          </w:p>
        </w:tc>
      </w:tr>
      <w:tr>
        <w:trPr>
          <w:trHeight w:val="161"/>
        </w:trPr>
        <w:tc>
          <w:tcPr>
            <w:tcW w:w="2100" w:type="dxa"/>
            <w:vAlign w:val="bottom"/>
          </w:tcPr>
          <w:p>
            <w:pPr>
              <w:ind w:left="200"/>
              <w:spacing w:after="0"/>
              <w:rPr>
                <w:sz w:val="20"/>
                <w:szCs w:val="20"/>
                <w:color w:val="auto"/>
              </w:rPr>
            </w:pPr>
            <w:r>
              <w:rPr>
                <w:rFonts w:ascii="Arial" w:cs="Arial" w:eastAsia="Arial" w:hAnsi="Arial"/>
                <w:sz w:val="14"/>
                <w:szCs w:val="14"/>
                <w:i w:val="1"/>
                <w:iCs w:val="1"/>
                <w:color w:val="auto"/>
              </w:rPr>
              <w:t>President and Chief</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6,677,</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00" w:type="dxa"/>
            <w:vAlign w:val="bottom"/>
          </w:tcPr>
          <w:p>
            <w:pPr>
              <w:ind w:left="320"/>
              <w:spacing w:after="0"/>
              <w:rPr>
                <w:sz w:val="20"/>
                <w:szCs w:val="20"/>
                <w:color w:val="auto"/>
              </w:rPr>
            </w:pPr>
            <w:r>
              <w:rPr>
                <w:rFonts w:ascii="Arial" w:cs="Arial" w:eastAsia="Arial" w:hAnsi="Arial"/>
                <w:sz w:val="14"/>
                <w:szCs w:val="14"/>
                <w:i w:val="1"/>
                <w:iCs w:val="1"/>
                <w:color w:val="auto"/>
              </w:rPr>
              <w:t>Executive Officer</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2024</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540,000</w:t>
            </w: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117</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218,700</w:t>
            </w:r>
          </w:p>
        </w:tc>
        <w:tc>
          <w:tcPr>
            <w:tcW w:w="10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7,435,817</w:t>
            </w:r>
          </w:p>
        </w:tc>
        <w:tc>
          <w:tcPr>
            <w:tcW w:w="0" w:type="dxa"/>
            <w:vAlign w:val="bottom"/>
          </w:tcPr>
          <w:p>
            <w:pPr>
              <w:spacing w:after="0"/>
              <w:rPr>
                <w:sz w:val="1"/>
                <w:szCs w:val="1"/>
                <w:color w:val="auto"/>
              </w:rPr>
            </w:pPr>
          </w:p>
        </w:tc>
      </w:tr>
      <w:tr>
        <w:trPr>
          <w:trHeight w:val="161"/>
        </w:trPr>
        <w:tc>
          <w:tcPr>
            <w:tcW w:w="2100" w:type="dxa"/>
            <w:vAlign w:val="bottom"/>
          </w:tcPr>
          <w:p>
            <w:pPr>
              <w:spacing w:after="0"/>
              <w:rPr>
                <w:sz w:val="20"/>
                <w:szCs w:val="20"/>
                <w:color w:val="auto"/>
              </w:rPr>
            </w:pPr>
            <w:r>
              <w:rPr>
                <w:rFonts w:ascii="Arial" w:cs="Arial" w:eastAsia="Arial" w:hAnsi="Arial"/>
                <w:sz w:val="14"/>
                <w:szCs w:val="14"/>
                <w:color w:val="auto"/>
              </w:rPr>
              <w:t>Jason Haas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777,64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2025</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500,000</w:t>
            </w: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202,500</w:t>
            </w:r>
          </w:p>
        </w:tc>
        <w:tc>
          <w:tcPr>
            <w:tcW w:w="10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1,480,147</w:t>
            </w: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14"/>
                <w:szCs w:val="14"/>
                <w:color w:val="auto"/>
              </w:rPr>
              <w:t xml:space="preserve">2024  </w:t>
            </w:r>
            <w:r>
              <w:rPr>
                <w:rFonts w:ascii="Arial" w:cs="Arial" w:eastAsia="Arial" w:hAnsi="Arial"/>
                <w:sz w:val="19"/>
                <w:szCs w:val="19"/>
                <w:color w:val="auto"/>
                <w:vertAlign w:val="superscript"/>
              </w:rPr>
              <w:t>(4)</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4,306,</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00" w:type="dxa"/>
            <w:vAlign w:val="bottom"/>
          </w:tcPr>
          <w:p>
            <w:pPr>
              <w:ind w:left="200"/>
              <w:spacing w:after="0"/>
              <w:rPr>
                <w:sz w:val="20"/>
                <w:szCs w:val="20"/>
                <w:color w:val="auto"/>
              </w:rPr>
            </w:pPr>
            <w:r>
              <w:rPr>
                <w:rFonts w:ascii="Arial" w:cs="Arial" w:eastAsia="Arial" w:hAnsi="Arial"/>
                <w:sz w:val="14"/>
                <w:szCs w:val="14"/>
                <w:i w:val="1"/>
                <w:iCs w:val="1"/>
                <w:color w:val="auto"/>
              </w:rPr>
              <w:t>Chief Financial Officer</w:t>
            </w:r>
          </w:p>
        </w:tc>
        <w:tc>
          <w:tcPr>
            <w:tcW w:w="880" w:type="dxa"/>
            <w:vAlign w:val="bottom"/>
            <w:gridSpan w:val="2"/>
            <w:vMerge w:val="continue"/>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13,889</w:t>
            </w: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322</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4,320,211</w:t>
            </w: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467,54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4"/>
                <w:szCs w:val="14"/>
                <w:color w:val="auto"/>
              </w:rPr>
              <w:t>Collin Todd</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2025</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400,000</w:t>
            </w: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144,900</w:t>
            </w:r>
          </w:p>
        </w:tc>
        <w:tc>
          <w:tcPr>
            <w:tcW w:w="10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1,012,442</w:t>
            </w:r>
          </w:p>
        </w:tc>
        <w:tc>
          <w:tcPr>
            <w:tcW w:w="0" w:type="dxa"/>
            <w:vAlign w:val="bottom"/>
          </w:tcPr>
          <w:p>
            <w:pPr>
              <w:spacing w:after="0"/>
              <w:rPr>
                <w:sz w:val="1"/>
                <w:szCs w:val="1"/>
                <w:color w:val="auto"/>
              </w:rPr>
            </w:pPr>
          </w:p>
        </w:tc>
      </w:tr>
      <w:tr>
        <w:trPr>
          <w:trHeight w:val="161"/>
        </w:trPr>
        <w:tc>
          <w:tcPr>
            <w:tcW w:w="2100" w:type="dxa"/>
            <w:vAlign w:val="bottom"/>
          </w:tcPr>
          <w:p>
            <w:pPr>
              <w:ind w:left="200"/>
              <w:spacing w:after="0"/>
              <w:rPr>
                <w:sz w:val="20"/>
                <w:szCs w:val="20"/>
                <w:color w:val="auto"/>
              </w:rPr>
            </w:pPr>
            <w:r>
              <w:rPr>
                <w:rFonts w:ascii="Arial" w:cs="Arial" w:eastAsia="Arial" w:hAnsi="Arial"/>
                <w:sz w:val="14"/>
                <w:szCs w:val="14"/>
                <w:i w:val="1"/>
                <w:iCs w:val="1"/>
                <w:color w:val="auto"/>
              </w:rPr>
              <w:t>Senior Vice President,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00" w:type="dxa"/>
            <w:vAlign w:val="bottom"/>
          </w:tcPr>
          <w:p>
            <w:pPr>
              <w:ind w:left="320"/>
              <w:spacing w:after="0"/>
              <w:rPr>
                <w:sz w:val="20"/>
                <w:szCs w:val="20"/>
                <w:color w:val="auto"/>
              </w:rPr>
            </w:pPr>
            <w:r>
              <w:rPr>
                <w:rFonts w:ascii="Arial" w:cs="Arial" w:eastAsia="Arial" w:hAnsi="Arial"/>
                <w:sz w:val="14"/>
                <w:szCs w:val="14"/>
                <w:i w:val="1"/>
                <w:iCs w:val="1"/>
                <w:color w:val="auto"/>
              </w:rPr>
              <w:t>Strategy and Business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320"/>
              <w:spacing w:after="0"/>
              <w:rPr>
                <w:sz w:val="20"/>
                <w:szCs w:val="20"/>
                <w:color w:val="auto"/>
              </w:rPr>
            </w:pPr>
            <w:r>
              <w:rPr>
                <w:rFonts w:ascii="Arial" w:cs="Arial" w:eastAsia="Arial" w:hAnsi="Arial"/>
                <w:sz w:val="14"/>
                <w:szCs w:val="14"/>
                <w:i w:val="1"/>
                <w:iCs w:val="1"/>
                <w:color w:val="auto"/>
              </w:rPr>
              <w:t>Development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59690</wp:posOffset>
            </wp:positionV>
            <wp:extent cx="45720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57200" cy="6985"/>
                    </a:xfrm>
                    <a:prstGeom prst="rect">
                      <a:avLst/>
                    </a:prstGeom>
                    <a:noFill/>
                  </pic:spPr>
                </pic:pic>
              </a:graphicData>
            </a:graphic>
          </wp:anchor>
        </w:drawing>
      </w:r>
    </w:p>
    <w:p>
      <w:pPr>
        <w:spacing w:after="0" w:line="113" w:lineRule="exact"/>
        <w:rPr>
          <w:sz w:val="20"/>
          <w:szCs w:val="20"/>
          <w:color w:val="auto"/>
        </w:rPr>
      </w:pPr>
    </w:p>
    <w:p>
      <w:pPr>
        <w:ind w:left="1080" w:right="659" w:hanging="442"/>
        <w:spacing w:after="0" w:line="241" w:lineRule="auto"/>
        <w:tabs>
          <w:tab w:leader="none" w:pos="10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The amounts reported in the “Option Awards” column represent the aggregate grant date fair value of the stock options awarded to our named executive officers during the fiscal year ended December 31, 2025 and the incremental fair value associated with our stock option repricing on June 18, 2025, in each case, calculated in accordance with FASB ASC Topic 718. The assumptions used in calculating the grant date fair value of the awards reported in this column are set forth in Note 13 to our audited consolidated financial statements included elsewhere in this prospectus. The stock option repricing resulted in the exercise price of previously granted stock options held by our named executive officers being decreased to $0.41 per share, which represented the fair market value of our common stock on the repricing date as determined by our board of directors. The amounts reported in this column reflect the compensation expense recognized under FASB ASC Topic 718 for the stock options and do not reflect the actual economic value that will be realized by the individual upon the vesting of the stock options, the exercise of the stock options or the sale of the common stock underlying such awards. See the subsection “— </w:t>
      </w:r>
      <w:r>
        <w:rPr>
          <w:rFonts w:ascii="Arial" w:cs="Arial" w:eastAsia="Arial" w:hAnsi="Arial"/>
          <w:sz w:val="14"/>
          <w:szCs w:val="14"/>
          <w:i w:val="1"/>
          <w:iCs w:val="1"/>
          <w:color w:val="auto"/>
        </w:rPr>
        <w:t>Equity Benefit Plans</w:t>
      </w:r>
      <w:r>
        <w:rPr>
          <w:rFonts w:ascii="Arial" w:cs="Arial" w:eastAsia="Arial" w:hAnsi="Arial"/>
          <w:sz w:val="14"/>
          <w:szCs w:val="14"/>
          <w:color w:val="auto"/>
        </w:rPr>
        <w:t>” below.</w:t>
      </w:r>
    </w:p>
    <w:p>
      <w:pPr>
        <w:spacing w:after="0" w:line="7" w:lineRule="exact"/>
        <w:rPr>
          <w:rFonts w:ascii="Arial" w:cs="Arial" w:eastAsia="Arial" w:hAnsi="Arial"/>
          <w:sz w:val="14"/>
          <w:szCs w:val="14"/>
          <w:color w:val="auto"/>
        </w:rPr>
      </w:pPr>
    </w:p>
    <w:p>
      <w:pPr>
        <w:jc w:val="both"/>
        <w:ind w:left="1080" w:right="939" w:hanging="442"/>
        <w:spacing w:after="0"/>
        <w:tabs>
          <w:tab w:leader="none" w:pos="10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amounts reported represent the annual bonus earned based on certain criteria determined by our board of directors and previously communicated to the officers during the year ended December 31, 2025 and 2024, as applicable.</w:t>
      </w:r>
    </w:p>
    <w:p>
      <w:pPr>
        <w:ind w:left="1080" w:right="679" w:hanging="442"/>
        <w:spacing w:after="0"/>
        <w:tabs>
          <w:tab w:leader="none" w:pos="10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2025, Dr. Glick advised our board of directors that, to support employee retention initiatives put into effect during 2025, he had elected to forego any annual bonus he might otherwise have been entitled to for 2025 based upon the achievement of certain criteria determined by our board of directors and previously communicated to Dr. Glick. Accordingly, Dr. Glick did not receive an annual bonus in 2025. Had our board of directors considered Dr. Glick for an annual bonus for 2025, he would have been entitled to receive an annual bonus of up to $226,355.</w:t>
      </w:r>
    </w:p>
    <w:p>
      <w:pPr>
        <w:ind w:left="1080" w:hanging="442"/>
        <w:spacing w:after="0"/>
        <w:tabs>
          <w:tab w:leader="none" w:pos="10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Haas was hired as our Chief Financial Officer in December 2024.</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Employment Arrangements</w:t>
      </w:r>
    </w:p>
    <w:p>
      <w:pPr>
        <w:spacing w:after="0" w:line="86" w:lineRule="exact"/>
        <w:rPr>
          <w:sz w:val="20"/>
          <w:szCs w:val="20"/>
          <w:color w:val="auto"/>
        </w:rPr>
      </w:pPr>
    </w:p>
    <w:p>
      <w:pPr>
        <w:ind w:left="640" w:right="759" w:firstLine="443"/>
        <w:spacing w:after="0" w:line="254" w:lineRule="auto"/>
        <w:rPr>
          <w:sz w:val="20"/>
          <w:szCs w:val="20"/>
          <w:color w:val="auto"/>
        </w:rPr>
      </w:pPr>
      <w:r>
        <w:rPr>
          <w:rFonts w:ascii="Arial" w:cs="Arial" w:eastAsia="Arial" w:hAnsi="Arial"/>
          <w:sz w:val="14"/>
          <w:szCs w:val="14"/>
          <w:color w:val="auto"/>
        </w:rPr>
        <w:t>Below are descriptions of employment agreements with our named executive officers. For a discussion of the severance pay and other benefits to be provided in connection with a termination of employment and/or a change in control of the Company under the arrangements with our named executive officers, see the subsection titled “—</w:t>
      </w:r>
      <w:r>
        <w:rPr>
          <w:rFonts w:ascii="Arial" w:cs="Arial" w:eastAsia="Arial" w:hAnsi="Arial"/>
          <w:sz w:val="14"/>
          <w:szCs w:val="14"/>
          <w:i w:val="1"/>
          <w:iCs w:val="1"/>
          <w:color w:val="auto"/>
        </w:rPr>
        <w:t>Potential</w:t>
      </w:r>
      <w:r>
        <w:rPr>
          <w:rFonts w:ascii="Arial" w:cs="Arial" w:eastAsia="Arial" w:hAnsi="Arial"/>
          <w:sz w:val="14"/>
          <w:szCs w:val="14"/>
          <w:color w:val="auto"/>
        </w:rPr>
        <w:t xml:space="preserve"> </w:t>
      </w:r>
      <w:r>
        <w:rPr>
          <w:rFonts w:ascii="Arial" w:cs="Arial" w:eastAsia="Arial" w:hAnsi="Arial"/>
          <w:sz w:val="14"/>
          <w:szCs w:val="14"/>
          <w:i w:val="1"/>
          <w:iCs w:val="1"/>
          <w:color w:val="auto"/>
        </w:rPr>
        <w:t>Payments upon Termination or Change in Control</w:t>
      </w:r>
      <w:r>
        <w:rPr>
          <w:rFonts w:ascii="Arial" w:cs="Arial" w:eastAsia="Arial" w:hAnsi="Arial"/>
          <w:sz w:val="14"/>
          <w:szCs w:val="14"/>
          <w:color w:val="auto"/>
        </w:rPr>
        <w:t>” below.</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Gary D. Glick, Ph.D.</w:t>
      </w:r>
    </w:p>
    <w:p>
      <w:pPr>
        <w:spacing w:after="0" w:line="84" w:lineRule="exact"/>
        <w:rPr>
          <w:sz w:val="20"/>
          <w:szCs w:val="20"/>
          <w:color w:val="auto"/>
        </w:rPr>
      </w:pPr>
    </w:p>
    <w:p>
      <w:pPr>
        <w:jc w:val="center"/>
        <w:ind w:left="638" w:right="917"/>
        <w:spacing w:after="0" w:line="282" w:lineRule="auto"/>
        <w:rPr>
          <w:sz w:val="20"/>
          <w:szCs w:val="20"/>
          <w:color w:val="auto"/>
        </w:rPr>
      </w:pPr>
      <w:r>
        <w:rPr>
          <w:rFonts w:ascii="Arial" w:cs="Arial" w:eastAsia="Arial" w:hAnsi="Arial"/>
          <w:sz w:val="14"/>
          <w:szCs w:val="14"/>
          <w:color w:val="auto"/>
        </w:rPr>
        <w:t>On December 28, 2024, we entered into an executive employment agreement with Dr. Glick, or the Glick Employment Agreement, that took effect as of January 1, 2025. The Glick Employment Agreement superseded a prior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6" w:name="page197"/>
    <w:bookmarkEnd w:id="19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spacing w:after="0" w:line="247" w:lineRule="auto"/>
        <w:rPr>
          <w:sz w:val="20"/>
          <w:szCs w:val="20"/>
          <w:color w:val="auto"/>
        </w:rPr>
      </w:pPr>
      <w:r>
        <w:rPr>
          <w:rFonts w:ascii="Arial" w:cs="Arial" w:eastAsia="Arial" w:hAnsi="Arial"/>
          <w:sz w:val="14"/>
          <w:szCs w:val="14"/>
          <w:color w:val="auto"/>
        </w:rPr>
        <w:t>employment agreement that governed the terms of Dr. Glick’s employment by us, including his salary and bonus. The Glick Employment Agreement sets forth the terms of Dr. Glick’s employment as our President and Chief Executive Officer and provides for Dr. Glick’s service to us on an at-will basis. The Glick Employment Agreement includes an initial base salary of $540,000, as may be adjusted from time to time. Dr. Glick is also eligible to earn an annual bonus, with a target of 45% of his annual salary, as determined by the board of directors (or the compensation committee of the board of directors), in its sole discretion, and subject to Dr. Glick’s continued service through the date of payment (except as described under the subsection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 below).</w:t>
      </w:r>
    </w:p>
    <w:p>
      <w:pPr>
        <w:spacing w:after="0" w:line="54"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Dr. Glick is eligible to participate in the employee benefit plans and programs available to our employees, including our equity incentive plan, subject to the terms of such plans. We also agreed to reimburse Dr. Glick for travel and other business expenses reasonably incurred in connection with the performance of Dr. Glick’s duties under the Glick Employment Agreement. Dr. Glick is entitled to certain termination benefits pursuant to the Glick Employment Agreement, as described in greater detail in the subsection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 below. We also entered into a stock restriction agreement with Dr. Glick as described in more detail in the section of this prospectus titled “</w:t>
      </w:r>
      <w:r>
        <w:rPr>
          <w:rFonts w:ascii="Arial" w:cs="Arial" w:eastAsia="Arial" w:hAnsi="Arial"/>
          <w:sz w:val="14"/>
          <w:szCs w:val="14"/>
          <w:i w:val="1"/>
          <w:iCs w:val="1"/>
          <w:color w:val="auto"/>
        </w:rPr>
        <w:t>Certain Relationships and Related Person Transactions—Founder Stock Purchase Agreement and</w:t>
      </w:r>
      <w:r>
        <w:rPr>
          <w:rFonts w:ascii="Arial" w:cs="Arial" w:eastAsia="Arial" w:hAnsi="Arial"/>
          <w:sz w:val="14"/>
          <w:szCs w:val="14"/>
          <w:color w:val="auto"/>
        </w:rPr>
        <w:t xml:space="preserve"> </w:t>
      </w:r>
      <w:r>
        <w:rPr>
          <w:rFonts w:ascii="Arial" w:cs="Arial" w:eastAsia="Arial" w:hAnsi="Arial"/>
          <w:sz w:val="14"/>
          <w:szCs w:val="14"/>
          <w:i w:val="1"/>
          <w:iCs w:val="1"/>
          <w:color w:val="auto"/>
        </w:rPr>
        <w:t>Stock Restriction Agreement</w:t>
      </w:r>
      <w:r>
        <w:rPr>
          <w:rFonts w:ascii="Arial" w:cs="Arial" w:eastAsia="Arial" w:hAnsi="Arial"/>
          <w:sz w:val="14"/>
          <w:szCs w:val="14"/>
          <w:color w:val="auto"/>
        </w:rPr>
        <w:t>.”</w:t>
      </w:r>
    </w:p>
    <w:p>
      <w:pPr>
        <w:spacing w:after="0" w:line="54" w:lineRule="exact"/>
        <w:rPr>
          <w:sz w:val="20"/>
          <w:szCs w:val="20"/>
          <w:color w:val="auto"/>
        </w:rPr>
      </w:pPr>
    </w:p>
    <w:p>
      <w:pPr>
        <w:ind w:left="640" w:right="1099" w:firstLine="443"/>
        <w:spacing w:after="0" w:line="261" w:lineRule="auto"/>
        <w:rPr>
          <w:sz w:val="20"/>
          <w:szCs w:val="20"/>
          <w:color w:val="auto"/>
        </w:rPr>
      </w:pPr>
      <w:r>
        <w:rPr>
          <w:rFonts w:ascii="Arial" w:cs="Arial" w:eastAsia="Arial" w:hAnsi="Arial"/>
          <w:sz w:val="14"/>
          <w:szCs w:val="14"/>
          <w:color w:val="auto"/>
        </w:rPr>
        <w:t>Dr. Glick has entered into a Confidentiality and Assignment of Inventions Agreement that contains various restrictive covenants, including confidentiality, non-competition and non-solicitation, and which also provides for the assignment of certain intellectual property rights from Dr. Glick to us, among other things.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Jason Haas</w:t>
      </w:r>
    </w:p>
    <w:p>
      <w:pPr>
        <w:spacing w:after="0" w:line="84" w:lineRule="exact"/>
        <w:rPr>
          <w:sz w:val="20"/>
          <w:szCs w:val="20"/>
          <w:color w:val="auto"/>
        </w:rPr>
      </w:pPr>
    </w:p>
    <w:p>
      <w:pPr>
        <w:ind w:left="640" w:right="679" w:firstLine="438"/>
        <w:spacing w:after="0" w:line="242" w:lineRule="auto"/>
        <w:rPr>
          <w:sz w:val="20"/>
          <w:szCs w:val="20"/>
          <w:color w:val="auto"/>
        </w:rPr>
      </w:pPr>
      <w:r>
        <w:rPr>
          <w:rFonts w:ascii="Arial" w:cs="Arial" w:eastAsia="Arial" w:hAnsi="Arial"/>
          <w:sz w:val="14"/>
          <w:szCs w:val="14"/>
          <w:color w:val="auto"/>
        </w:rPr>
        <w:t>On December 18, 2024, we entered into an executive employment agreement with Mr. Haas, or the Haas Employment Agreement, that will take effect as of the day prior to, and is conditional upon, the closing of this offering. Prior to the effectiveness of the Haas Employment Agreement, the terms of Mr. Haas’ employment by us, including his salary and bonus, were governed by an offer letter. The Haas Employment Agreement sets forth the terms of Mr. Haas’ employment as our Chief Financial Officer. The Haas Employment Agreement provides for Mr. Haas’ service to us on an at-will basis. The Haas Employment Agreement provides for an initial base salary of $500,000, as may be adjusted from time to time. Mr. Haas is also eligible to earn an annual bonus, with a target of 45% of his annual salary, as determined by our board of directors (or the Compensation Committee), in its sole discretion, and subject to Mr. Haas’ continued service through the date of payment (except as described under the subsection titled “—</w:t>
      </w:r>
      <w:r>
        <w:rPr>
          <w:rFonts w:ascii="Arial" w:cs="Arial" w:eastAsia="Arial" w:hAnsi="Arial"/>
          <w:sz w:val="14"/>
          <w:szCs w:val="14"/>
          <w:i w:val="1"/>
          <w:iCs w:val="1"/>
          <w:color w:val="auto"/>
        </w:rPr>
        <w:t>Potential Payments upon Termination or</w:t>
      </w:r>
      <w:r>
        <w:rPr>
          <w:rFonts w:ascii="Arial" w:cs="Arial" w:eastAsia="Arial" w:hAnsi="Arial"/>
          <w:sz w:val="14"/>
          <w:szCs w:val="14"/>
          <w:color w:val="auto"/>
        </w:rPr>
        <w:t xml:space="preserve"> </w:t>
      </w:r>
      <w:r>
        <w:rPr>
          <w:rFonts w:ascii="Arial" w:cs="Arial" w:eastAsia="Arial" w:hAnsi="Arial"/>
          <w:sz w:val="14"/>
          <w:szCs w:val="14"/>
          <w:i w:val="1"/>
          <w:iCs w:val="1"/>
          <w:color w:val="auto"/>
        </w:rPr>
        <w:t>Change in Control</w:t>
      </w:r>
      <w:r>
        <w:rPr>
          <w:rFonts w:ascii="Arial" w:cs="Arial" w:eastAsia="Arial" w:hAnsi="Arial"/>
          <w:sz w:val="14"/>
          <w:szCs w:val="14"/>
          <w:color w:val="auto"/>
        </w:rPr>
        <w:t>” below, or as otherwise provided for in any applicable annual bonus plan or policy or otherwise</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by the Company). Mr. Haas is eligible to participate in the employee benefit plans and programs available to our employees, including our equity incentive plan, subject to the terms of such plans. We also agreed to reimburse Mr. Haas for travel and other business expenses reasonably incurred in connection with the performance of Mr. Haas’ duties under the Haas Employment Agreement. Mr. Haas is entitled to certain termination benefits pursuant to the Haas Employment Agreement, as described in greater detail in the subsection titled “—</w:t>
      </w:r>
      <w:r>
        <w:rPr>
          <w:rFonts w:ascii="Arial" w:cs="Arial" w:eastAsia="Arial" w:hAnsi="Arial"/>
          <w:sz w:val="14"/>
          <w:szCs w:val="14"/>
          <w:i w:val="1"/>
          <w:iCs w:val="1"/>
          <w:color w:val="auto"/>
        </w:rPr>
        <w:t>Potential Payments upon Termination or</w:t>
      </w:r>
      <w:r>
        <w:rPr>
          <w:rFonts w:ascii="Arial" w:cs="Arial" w:eastAsia="Arial" w:hAnsi="Arial"/>
          <w:sz w:val="14"/>
          <w:szCs w:val="14"/>
          <w:color w:val="auto"/>
        </w:rPr>
        <w:t xml:space="preserve"> </w:t>
      </w:r>
      <w:r>
        <w:rPr>
          <w:rFonts w:ascii="Arial" w:cs="Arial" w:eastAsia="Arial" w:hAnsi="Arial"/>
          <w:sz w:val="14"/>
          <w:szCs w:val="14"/>
          <w:i w:val="1"/>
          <w:iCs w:val="1"/>
          <w:color w:val="auto"/>
        </w:rPr>
        <w:t>Change in Control</w:t>
      </w:r>
      <w:r>
        <w:rPr>
          <w:rFonts w:ascii="Arial" w:cs="Arial" w:eastAsia="Arial" w:hAnsi="Arial"/>
          <w:sz w:val="14"/>
          <w:szCs w:val="14"/>
          <w:color w:val="auto"/>
        </w:rPr>
        <w:t>” below.</w:t>
      </w:r>
    </w:p>
    <w:p>
      <w:pPr>
        <w:spacing w:after="0" w:line="228" w:lineRule="exact"/>
        <w:rPr>
          <w:sz w:val="20"/>
          <w:szCs w:val="20"/>
          <w:color w:val="auto"/>
        </w:rPr>
      </w:pPr>
    </w:p>
    <w:p>
      <w:pPr>
        <w:ind w:left="640" w:right="1099" w:firstLine="438"/>
        <w:spacing w:after="0" w:line="261" w:lineRule="auto"/>
        <w:rPr>
          <w:sz w:val="20"/>
          <w:szCs w:val="20"/>
          <w:color w:val="auto"/>
        </w:rPr>
      </w:pPr>
      <w:r>
        <w:rPr>
          <w:rFonts w:ascii="Arial" w:cs="Arial" w:eastAsia="Arial" w:hAnsi="Arial"/>
          <w:sz w:val="14"/>
          <w:szCs w:val="14"/>
          <w:color w:val="auto"/>
        </w:rPr>
        <w:t>Mr. Haas has entered into a Confidentiality and Assignment of Inventions Agreement that contains various restrictive covenants, including confidentiality, non-competition and non-solicitation, and which also provides for the assignment of certain intellectual property rights from Mr. Haas to us, among other things.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Collin Todd</w:t>
      </w:r>
    </w:p>
    <w:p>
      <w:pPr>
        <w:spacing w:after="0" w:line="84" w:lineRule="exact"/>
        <w:rPr>
          <w:sz w:val="20"/>
          <w:szCs w:val="20"/>
          <w:color w:val="auto"/>
        </w:rPr>
      </w:pPr>
    </w:p>
    <w:p>
      <w:pPr>
        <w:ind w:left="640" w:right="659" w:firstLine="438"/>
        <w:spacing w:after="0" w:line="242" w:lineRule="auto"/>
        <w:rPr>
          <w:sz w:val="20"/>
          <w:szCs w:val="20"/>
          <w:color w:val="auto"/>
        </w:rPr>
      </w:pPr>
      <w:r>
        <w:rPr>
          <w:rFonts w:ascii="Arial" w:cs="Arial" w:eastAsia="Arial" w:hAnsi="Arial"/>
          <w:sz w:val="14"/>
          <w:szCs w:val="14"/>
          <w:color w:val="auto"/>
        </w:rPr>
        <w:t>On December 21, 2024, we entered into an executive employment agreement with Mr. Todd, or the Todd Employment Agreement, that will take effect as of the day prior to, and is conditional upon, the closing of this offering. Prior to the effectiveness of the Todd Employment Agreement, the terms of Mr. Todd’s employment by us, including his salary and bonus, were governed by an offer letter. The Todd Employment Agreement sets forth the terms of Mr. Todd’s employment as our Senior Vice President, Strategy and Business Development. The Todd Employment Agreement provides for Mr. Todd’s service to us on an at-will basis. The Todd Employment Agreement provides for an initial base salary of $400,000, as may be adjusted from time to time. Mr. Todd is also eligible to earn an annual bonus, with a target of 35% of his annual salary, as determined by our board of directors (or the Compensation Committee), in its sole discretion, and subject to Mr. Todd’s continued service through the date of payment (except as described under the subsection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 below, or as otherwise provided for in any applicable annual bonus plan or policy or otherwise determined by the Company). Mr. Todd is eligible to participate in the employee benefit plans and programs available to our employees, including our equity incentive plan, subject to the terms of such plans. We also agreed to reimburse Mr. Todd for travel and other business expenses reasonably incurred in connection with the performance of Mr. Todd’s duties under the Todd Employment Agreement. Mr. Todd is entitled to certain termination benefits pursuant to the Todd Employment Agreement, as described in greater detail in the subsection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 below.</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7" w:name="page198"/>
    <w:bookmarkEnd w:id="19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1099" w:firstLine="438"/>
        <w:spacing w:after="0" w:line="261" w:lineRule="auto"/>
        <w:rPr>
          <w:sz w:val="20"/>
          <w:szCs w:val="20"/>
          <w:color w:val="auto"/>
        </w:rPr>
      </w:pPr>
      <w:r>
        <w:rPr>
          <w:rFonts w:ascii="Arial" w:cs="Arial" w:eastAsia="Arial" w:hAnsi="Arial"/>
          <w:sz w:val="14"/>
          <w:szCs w:val="14"/>
          <w:color w:val="auto"/>
        </w:rPr>
        <w:t>Mr. Todd has entered into a Confidentiality and Assignment of Inventions Agreement that contains various restrictive covenants, including confidentiality, non-competition and non-solicitation, and which also provides for the assignment of certain intellectual property rights from Mr. Todd to us, among other things.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86" w:lineRule="exact"/>
        <w:rPr>
          <w:sz w:val="20"/>
          <w:szCs w:val="20"/>
          <w:color w:val="auto"/>
        </w:rPr>
      </w:pPr>
    </w:p>
    <w:p>
      <w:pPr>
        <w:ind w:left="640" w:right="919" w:firstLine="438"/>
        <w:spacing w:after="0" w:line="254" w:lineRule="auto"/>
        <w:rPr>
          <w:sz w:val="20"/>
          <w:szCs w:val="20"/>
          <w:color w:val="auto"/>
        </w:rPr>
      </w:pPr>
      <w:r>
        <w:rPr>
          <w:rFonts w:ascii="Arial" w:cs="Arial" w:eastAsia="Arial" w:hAnsi="Arial"/>
          <w:sz w:val="14"/>
          <w:szCs w:val="14"/>
          <w:color w:val="auto"/>
        </w:rPr>
        <w:t>If the employment of any of our named executive officers terminates for any reason, we will pay such named executive officer (or his or her estate or legal representative, if applicable), any base salary earned through the termination date, any unpaid expense reimbursements, any accrued and used vacation, and any vested benefits he or she may have under any of our employee benefit plans.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Gary D. Glick, Ph.D.</w:t>
      </w:r>
    </w:p>
    <w:p>
      <w:pPr>
        <w:spacing w:after="0" w:line="84" w:lineRule="exact"/>
        <w:rPr>
          <w:sz w:val="20"/>
          <w:szCs w:val="20"/>
          <w:color w:val="auto"/>
        </w:rPr>
      </w:pPr>
    </w:p>
    <w:p>
      <w:pPr>
        <w:ind w:left="640" w:right="659" w:firstLine="438"/>
        <w:spacing w:after="0" w:line="246" w:lineRule="auto"/>
        <w:rPr>
          <w:sz w:val="20"/>
          <w:szCs w:val="20"/>
          <w:color w:val="auto"/>
        </w:rPr>
      </w:pPr>
      <w:r>
        <w:rPr>
          <w:rFonts w:ascii="Arial" w:cs="Arial" w:eastAsia="Arial" w:hAnsi="Arial"/>
          <w:sz w:val="14"/>
          <w:szCs w:val="14"/>
          <w:color w:val="auto"/>
        </w:rPr>
        <w:t>Under the Glick Employment Agreement, if Dr. Glick resigns for good reason (as defined in the Glick Employment Agreement), Dr. Glick will be entitled to receive, subject to his execution and non-revocation of a separation and release agreement with us, (i) 12 months of base salary continuation, payable in accordance with our normal payroll practices, (ii) any unpaid annual bonus in respect of the year prior to the year of termination, paid in a lump sum, (iii) a pro-rated target annual bonus in respect of the year of termination, paid in a lump sum, (iv) payment of the full amount of premiums for COBRA continuation coverage for up to 12 months, and (v) accelerated vesting of his unvested shares of our capital stock and unvested equity awards (with any performance-based vesting conditions deemed to be satisfied at their target achievement levels).</w:t>
      </w:r>
    </w:p>
    <w:p>
      <w:pPr>
        <w:spacing w:after="0" w:line="54" w:lineRule="exact"/>
        <w:rPr>
          <w:sz w:val="20"/>
          <w:szCs w:val="20"/>
          <w:color w:val="auto"/>
        </w:rPr>
      </w:pPr>
    </w:p>
    <w:p>
      <w:pPr>
        <w:ind w:left="640" w:right="879" w:firstLine="438"/>
        <w:spacing w:after="0" w:line="254" w:lineRule="auto"/>
        <w:rPr>
          <w:sz w:val="20"/>
          <w:szCs w:val="20"/>
          <w:color w:val="auto"/>
        </w:rPr>
      </w:pPr>
      <w:r>
        <w:rPr>
          <w:rFonts w:ascii="Arial" w:cs="Arial" w:eastAsia="Arial" w:hAnsi="Arial"/>
          <w:sz w:val="14"/>
          <w:szCs w:val="14"/>
          <w:color w:val="auto"/>
        </w:rPr>
        <w:t>In the event that Dr. Glick’s employment is terminated without cause (as defined in the Glick Employment Agreement), subject to his execution and non-revocation of a separation and release agreement with us and his agreement to extend his non-competition period until the 12-month anniversary of the termination, Dr. Glick will also be entitled to the benefits described above.</w:t>
      </w:r>
    </w:p>
    <w:p>
      <w:pPr>
        <w:spacing w:after="0" w:line="49" w:lineRule="exact"/>
        <w:rPr>
          <w:sz w:val="20"/>
          <w:szCs w:val="20"/>
          <w:color w:val="auto"/>
        </w:rPr>
      </w:pPr>
    </w:p>
    <w:p>
      <w:pPr>
        <w:ind w:left="640" w:right="799" w:firstLine="438"/>
        <w:spacing w:after="0" w:line="254" w:lineRule="auto"/>
        <w:rPr>
          <w:sz w:val="20"/>
          <w:szCs w:val="20"/>
          <w:color w:val="auto"/>
        </w:rPr>
      </w:pPr>
      <w:r>
        <w:rPr>
          <w:rFonts w:ascii="Arial" w:cs="Arial" w:eastAsia="Arial" w:hAnsi="Arial"/>
          <w:sz w:val="14"/>
          <w:szCs w:val="14"/>
          <w:color w:val="auto"/>
        </w:rPr>
        <w:t>If Dr. Glick (i) is subject to the non-competition provision of his Confidentiality and Assignment of Inventions Agreement following termination of his employment, and (ii) is not receiving the severance benefits described above, we would be required to pay him an amount equal to 12 months of his base salary in four equal installments during the 12-month non-competition period.</w:t>
      </w:r>
    </w:p>
    <w:p>
      <w:pPr>
        <w:spacing w:after="0" w:line="49" w:lineRule="exact"/>
        <w:rPr>
          <w:sz w:val="20"/>
          <w:szCs w:val="20"/>
          <w:color w:val="auto"/>
        </w:rPr>
      </w:pPr>
    </w:p>
    <w:p>
      <w:pPr>
        <w:ind w:left="640" w:right="679" w:firstLine="438"/>
        <w:spacing w:after="0" w:line="254" w:lineRule="auto"/>
        <w:rPr>
          <w:sz w:val="20"/>
          <w:szCs w:val="20"/>
          <w:color w:val="auto"/>
        </w:rPr>
      </w:pPr>
      <w:r>
        <w:rPr>
          <w:rFonts w:ascii="Arial" w:cs="Arial" w:eastAsia="Arial" w:hAnsi="Arial"/>
          <w:sz w:val="14"/>
          <w:szCs w:val="14"/>
          <w:color w:val="auto"/>
        </w:rPr>
        <w:t>In the event that Dr. Glick’s employment is terminated due to death or disability, (i) we will pay Dr. Glick (or his estate or legal representative) any unpaid annual bonus in respect of the year prior to the year of termination, and (ii) 50% of any shares of our capital stock and any equity incentive awards held by Dr. Glick, in each case which have not vested, shall vest.</w:t>
      </w:r>
    </w:p>
    <w:p>
      <w:pPr>
        <w:spacing w:after="0" w:line="49" w:lineRule="exact"/>
        <w:rPr>
          <w:sz w:val="20"/>
          <w:szCs w:val="20"/>
          <w:color w:val="auto"/>
        </w:rPr>
      </w:pPr>
    </w:p>
    <w:p>
      <w:pPr>
        <w:ind w:left="640" w:right="679" w:firstLine="438"/>
        <w:spacing w:after="0" w:line="250" w:lineRule="auto"/>
        <w:rPr>
          <w:sz w:val="20"/>
          <w:szCs w:val="20"/>
          <w:color w:val="auto"/>
        </w:rPr>
      </w:pPr>
      <w:r>
        <w:rPr>
          <w:rFonts w:ascii="Arial" w:cs="Arial" w:eastAsia="Arial" w:hAnsi="Arial"/>
          <w:sz w:val="14"/>
          <w:szCs w:val="14"/>
          <w:color w:val="auto"/>
        </w:rPr>
        <w:t>Payments and benefits provided to Dr. Glick in connection with a change in control may not be eligible for a federal income tax deduction by us pursuant to Section 280G of the Code. These payments and benefits may also subject Dr. Glick to an excise tax under Section 4999 of the Code. If these payments and benefits would be subject to the excise tax imposed under Section 4999 of the Code, then such payments and benefits will be reduced if such reduction would result in a higher net after-tax benefit to Dr. Glick.</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Jason Haas</w:t>
      </w:r>
    </w:p>
    <w:p>
      <w:pPr>
        <w:spacing w:after="0" w:line="84" w:lineRule="exact"/>
        <w:rPr>
          <w:sz w:val="20"/>
          <w:szCs w:val="20"/>
          <w:color w:val="auto"/>
        </w:rPr>
      </w:pPr>
    </w:p>
    <w:p>
      <w:pPr>
        <w:ind w:left="640" w:right="659" w:firstLine="438"/>
        <w:spacing w:after="0" w:line="247" w:lineRule="auto"/>
        <w:rPr>
          <w:sz w:val="20"/>
          <w:szCs w:val="20"/>
          <w:color w:val="auto"/>
        </w:rPr>
      </w:pPr>
      <w:r>
        <w:rPr>
          <w:rFonts w:ascii="Arial" w:cs="Arial" w:eastAsia="Arial" w:hAnsi="Arial"/>
          <w:sz w:val="14"/>
          <w:szCs w:val="14"/>
          <w:color w:val="auto"/>
        </w:rPr>
        <w:t>Under the Haas Employment Agreement, if Mr. Haas resigns for good reason (as defined in the Haas Employment Agreement), Mr. Haas will be entitled to receive, subject to his execution and non-revocation of a separation and release agreement with us, (i) twelve months of base salary continuation, payable in accordance with our normal payroll practices, and (ii) payment of the full amount of premiums for COBRA continuation coverage for up to twelve months. If such resignation occurs within three months prior to or within twelve months following a change in control (as defined in the Haas Employment Agreement), Mr. Haas will additionally be entitled to receive accelerated vesting of his unvested equity awards (with any performance-based vesting conditions deemed to be satisfied at their target achievement levels).</w:t>
      </w:r>
    </w:p>
    <w:p>
      <w:pPr>
        <w:spacing w:after="0" w:line="54" w:lineRule="exact"/>
        <w:rPr>
          <w:sz w:val="20"/>
          <w:szCs w:val="20"/>
          <w:color w:val="auto"/>
        </w:rPr>
      </w:pPr>
    </w:p>
    <w:p>
      <w:pPr>
        <w:ind w:left="640" w:right="1019" w:firstLine="438"/>
        <w:spacing w:after="0" w:line="254" w:lineRule="auto"/>
        <w:rPr>
          <w:sz w:val="20"/>
          <w:szCs w:val="20"/>
          <w:color w:val="auto"/>
        </w:rPr>
      </w:pPr>
      <w:r>
        <w:rPr>
          <w:rFonts w:ascii="Arial" w:cs="Arial" w:eastAsia="Arial" w:hAnsi="Arial"/>
          <w:sz w:val="14"/>
          <w:szCs w:val="14"/>
          <w:color w:val="auto"/>
        </w:rPr>
        <w:t>In the event that Mr. Haas’ employment is terminated without cause (as defined in the Haas Employment Agreement), subject to his execution and non-revocation of a separation and release agreement with us and his agreement to extend his non-compete period until the 12-month anniversary of the termination, Mr. Haas will also be entitled to the benefits described above.</w:t>
      </w:r>
    </w:p>
    <w:p>
      <w:pPr>
        <w:spacing w:after="0" w:line="49" w:lineRule="exact"/>
        <w:rPr>
          <w:sz w:val="20"/>
          <w:szCs w:val="20"/>
          <w:color w:val="auto"/>
        </w:rPr>
      </w:pPr>
    </w:p>
    <w:p>
      <w:pPr>
        <w:ind w:left="640" w:right="739" w:firstLine="438"/>
        <w:spacing w:after="0" w:line="282" w:lineRule="auto"/>
        <w:rPr>
          <w:sz w:val="20"/>
          <w:szCs w:val="20"/>
          <w:color w:val="auto"/>
        </w:rPr>
      </w:pPr>
      <w:r>
        <w:rPr>
          <w:rFonts w:ascii="Arial" w:cs="Arial" w:eastAsia="Arial" w:hAnsi="Arial"/>
          <w:sz w:val="14"/>
          <w:szCs w:val="14"/>
          <w:color w:val="auto"/>
        </w:rPr>
        <w:t>In the event that Mr. Haas’ employment is terminated due to death or disability, we will pay Mr. Haas (or his estate or legal representative) any unpaid annual bonus in respect of the year prior to the year of termination.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8" w:name="page199"/>
    <w:bookmarkEnd w:id="19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firstLine="438"/>
        <w:spacing w:after="0" w:line="250" w:lineRule="auto"/>
        <w:rPr>
          <w:sz w:val="20"/>
          <w:szCs w:val="20"/>
          <w:color w:val="auto"/>
        </w:rPr>
      </w:pPr>
      <w:r>
        <w:rPr>
          <w:rFonts w:ascii="Arial" w:cs="Arial" w:eastAsia="Arial" w:hAnsi="Arial"/>
          <w:sz w:val="14"/>
          <w:szCs w:val="14"/>
          <w:color w:val="auto"/>
        </w:rPr>
        <w:t>Payments and benefits provided to Mr. Haas in connection with a change in control may not be eligible for a federal income tax deduction by us pursuant to Section 280G of the Code. These payments and benefits may also subject Mr. Haas to an excise tax under Section 4999 of the Code. If these payments and benefits would be subject to the excise tax imposed under Section 4999 of the Code, then such payments and benefits will be reduced if such reduction would result in a higher net after-tax benefit to Mr. Haas.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Collin Todd</w:t>
      </w:r>
    </w:p>
    <w:p>
      <w:pPr>
        <w:spacing w:after="0" w:line="84" w:lineRule="exact"/>
        <w:rPr>
          <w:sz w:val="20"/>
          <w:szCs w:val="20"/>
          <w:color w:val="auto"/>
        </w:rPr>
      </w:pPr>
    </w:p>
    <w:p>
      <w:pPr>
        <w:ind w:left="640" w:right="659" w:firstLine="438"/>
        <w:spacing w:after="0" w:line="247" w:lineRule="auto"/>
        <w:rPr>
          <w:sz w:val="20"/>
          <w:szCs w:val="20"/>
          <w:color w:val="auto"/>
        </w:rPr>
      </w:pPr>
      <w:r>
        <w:rPr>
          <w:rFonts w:ascii="Arial" w:cs="Arial" w:eastAsia="Arial" w:hAnsi="Arial"/>
          <w:sz w:val="14"/>
          <w:szCs w:val="14"/>
          <w:color w:val="auto"/>
        </w:rPr>
        <w:t>Under the Todd Employment Agreement, if Mr. Todd resigns for good reason (as defined in the Todd Employment Agreement), Mr. Todd will be entitled to receive, subject to his execution and non-revocation of a separation and release agreement with us, (i) six months of base salary continuation, payable in accordance with our normal payroll practices, and (ii) payment of the full amount of premiums for COBRA continuation coverage for up to six months. If such resignation occurs within three months prior to or within twelve months following a change in control (as defined in the Todd Employment Agreement), Mr. Todd will additionally be entitled to receive accelerated vesting of his unvested equity awards (with any performance-based vesting conditions deemed to be satisfied at their target achievement levels).</w:t>
      </w:r>
    </w:p>
    <w:p>
      <w:pPr>
        <w:spacing w:after="0" w:line="54" w:lineRule="exact"/>
        <w:rPr>
          <w:sz w:val="20"/>
          <w:szCs w:val="20"/>
          <w:color w:val="auto"/>
        </w:rPr>
      </w:pPr>
    </w:p>
    <w:p>
      <w:pPr>
        <w:ind w:left="640" w:right="919" w:firstLine="438"/>
        <w:spacing w:after="0" w:line="261" w:lineRule="auto"/>
        <w:rPr>
          <w:sz w:val="20"/>
          <w:szCs w:val="20"/>
          <w:color w:val="auto"/>
        </w:rPr>
      </w:pPr>
      <w:r>
        <w:rPr>
          <w:rFonts w:ascii="Arial" w:cs="Arial" w:eastAsia="Arial" w:hAnsi="Arial"/>
          <w:sz w:val="14"/>
          <w:szCs w:val="14"/>
          <w:color w:val="auto"/>
        </w:rPr>
        <w:t>In the event that Mr. Todd’s employment is terminated without cause (as defined in the Todd Employment Agreement), subject to his execution and non-revocation of a separation and release agreement with us, Mr. Todd will also be entitled to the benefits described above.</w:t>
      </w:r>
    </w:p>
    <w:p>
      <w:pPr>
        <w:spacing w:after="0" w:line="44" w:lineRule="exact"/>
        <w:rPr>
          <w:sz w:val="20"/>
          <w:szCs w:val="20"/>
          <w:color w:val="auto"/>
        </w:rPr>
      </w:pPr>
    </w:p>
    <w:p>
      <w:pPr>
        <w:ind w:left="640" w:right="679" w:firstLine="438"/>
        <w:spacing w:after="0" w:line="282" w:lineRule="auto"/>
        <w:rPr>
          <w:sz w:val="20"/>
          <w:szCs w:val="20"/>
          <w:color w:val="auto"/>
        </w:rPr>
      </w:pPr>
      <w:r>
        <w:rPr>
          <w:rFonts w:ascii="Arial" w:cs="Arial" w:eastAsia="Arial" w:hAnsi="Arial"/>
          <w:sz w:val="14"/>
          <w:szCs w:val="14"/>
          <w:color w:val="auto"/>
        </w:rPr>
        <w:t>In the event that Mr. Todd’s employment is terminated due to death or disability, we will pay Mr. Todd (or his estate or legal representative) any unpaid annual bonus in respect of the year prior to the year of termination.</w:t>
      </w:r>
    </w:p>
    <w:p>
      <w:pPr>
        <w:spacing w:after="0" w:line="30" w:lineRule="exact"/>
        <w:rPr>
          <w:sz w:val="20"/>
          <w:szCs w:val="20"/>
          <w:color w:val="auto"/>
        </w:rPr>
      </w:pPr>
    </w:p>
    <w:p>
      <w:pPr>
        <w:ind w:left="640" w:right="659" w:firstLine="438"/>
        <w:spacing w:after="0" w:line="250" w:lineRule="auto"/>
        <w:rPr>
          <w:sz w:val="20"/>
          <w:szCs w:val="20"/>
          <w:color w:val="auto"/>
        </w:rPr>
      </w:pPr>
      <w:r>
        <w:rPr>
          <w:rFonts w:ascii="Arial" w:cs="Arial" w:eastAsia="Arial" w:hAnsi="Arial"/>
          <w:sz w:val="14"/>
          <w:szCs w:val="14"/>
          <w:color w:val="auto"/>
        </w:rPr>
        <w:t>Payments and benefits provided to Mr. Todd in connection with a change in control may not be eligible for a federal income tax deduction by us pursuant to Section 280G of the Code. These payments and benefits may also subject Mr. Todd to an excise tax under Section 4999 of the Code. If these payments and benefits would be subject to the excise tax imposed under Section 4999 of the Code, then such payments and benefits will be reduced if such reduction would result in a higher net after-tax benefit to Mr. Todd.</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Perquisites, Health, Welfare and Retirement Plans and Benefits</w:t>
      </w:r>
    </w:p>
    <w:p>
      <w:pPr>
        <w:spacing w:after="0" w:line="86" w:lineRule="exact"/>
        <w:rPr>
          <w:sz w:val="20"/>
          <w:szCs w:val="20"/>
          <w:color w:val="auto"/>
        </w:rPr>
      </w:pPr>
    </w:p>
    <w:p>
      <w:pPr>
        <w:ind w:left="640" w:right="699" w:firstLine="438"/>
        <w:spacing w:after="0" w:line="251" w:lineRule="auto"/>
        <w:rPr>
          <w:sz w:val="20"/>
          <w:szCs w:val="20"/>
          <w:color w:val="auto"/>
        </w:rPr>
      </w:pPr>
      <w:r>
        <w:rPr>
          <w:rFonts w:ascii="Arial" w:cs="Arial" w:eastAsia="Arial" w:hAnsi="Arial"/>
          <w:sz w:val="14"/>
          <w:szCs w:val="14"/>
          <w:color w:val="auto"/>
        </w:rPr>
        <w:t>All of our named executive officers are eligible to participate in our employee benefit plans, including medical, dental, vision, disability, life insurance and 401(k) plans, offered to other employees of the Company.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Option Repricing</w:t>
      </w:r>
    </w:p>
    <w:p>
      <w:pPr>
        <w:spacing w:after="0" w:line="86" w:lineRule="exact"/>
        <w:rPr>
          <w:sz w:val="20"/>
          <w:szCs w:val="20"/>
          <w:color w:val="auto"/>
        </w:rPr>
      </w:pPr>
    </w:p>
    <w:p>
      <w:pPr>
        <w:ind w:left="640" w:right="699" w:firstLine="438"/>
        <w:spacing w:after="0" w:line="248" w:lineRule="auto"/>
        <w:rPr>
          <w:sz w:val="20"/>
          <w:szCs w:val="20"/>
          <w:color w:val="auto"/>
        </w:rPr>
      </w:pPr>
      <w:r>
        <w:rPr>
          <w:rFonts w:ascii="Arial" w:cs="Arial" w:eastAsia="Arial" w:hAnsi="Arial"/>
          <w:sz w:val="14"/>
          <w:szCs w:val="14"/>
          <w:color w:val="auto"/>
        </w:rPr>
        <w:t>On June 18, 2025, our board of directors approved the repricing of certain outstanding stock options held by executive officers, employees and directors with per-share exercise prices above the then-current fair market value, as determined by a third-party valuation performed on June 8, 2025. The repricing reduced the exercise prices of such options, which had ranged from $2.37 to $3.30, to $0.41, the fair market value of our common stock as determined by our board of directors on the date of the repricing. The repricing was intended to motivate holders of options to continue to provide services to our company and to work towards our success.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9" w:name="page200"/>
    <w:bookmarkEnd w:id="19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Outstanding Equity Awards at Fiscal Year-End 2025</w:t>
      </w:r>
    </w:p>
    <w:p>
      <w:pPr>
        <w:spacing w:after="0" w:line="86" w:lineRule="exact"/>
        <w:rPr>
          <w:sz w:val="20"/>
          <w:szCs w:val="20"/>
          <w:color w:val="auto"/>
        </w:rPr>
      </w:pPr>
    </w:p>
    <w:p>
      <w:pPr>
        <w:ind w:left="640" w:right="759" w:firstLine="443"/>
        <w:spacing w:after="0" w:line="282" w:lineRule="auto"/>
        <w:rPr>
          <w:sz w:val="20"/>
          <w:szCs w:val="20"/>
          <w:color w:val="auto"/>
        </w:rPr>
      </w:pPr>
      <w:r>
        <w:rPr>
          <w:rFonts w:ascii="Arial" w:cs="Arial" w:eastAsia="Arial" w:hAnsi="Arial"/>
          <w:sz w:val="14"/>
          <w:szCs w:val="14"/>
          <w:color w:val="auto"/>
        </w:rPr>
        <w:t>The following table presents certain information concerning outstanding equity awards held by each of our named executive officers at December 31, 2025:</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5"/>
                <w:szCs w:val="5"/>
                <w:b w:val="1"/>
                <w:bCs w:val="1"/>
                <w:color w:val="auto"/>
              </w:rPr>
              <w:t>(1)</w:t>
            </w: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11"/>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12" w:lineRule="exact"/>
              <w:rPr>
                <w:sz w:val="20"/>
                <w:szCs w:val="20"/>
                <w:color w:val="auto"/>
              </w:rPr>
            </w:pPr>
            <w:r>
              <w:rPr>
                <w:rFonts w:ascii="Arial" w:cs="Arial" w:eastAsia="Arial" w:hAnsi="Arial"/>
                <w:sz w:val="11"/>
                <w:szCs w:val="11"/>
                <w:b w:val="1"/>
                <w:bCs w:val="1"/>
                <w:color w:val="auto"/>
              </w:rPr>
              <w:t>Number of</w:t>
            </w:r>
          </w:p>
        </w:tc>
        <w:tc>
          <w:tcPr>
            <w:tcW w:w="1020" w:type="dxa"/>
            <w:vAlign w:val="bottom"/>
            <w:gridSpan w:val="2"/>
          </w:tcPr>
          <w:p>
            <w:pPr>
              <w:jc w:val="center"/>
              <w:ind w:right="100"/>
              <w:spacing w:after="0" w:line="112"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Underlying</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Underlying</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264"/>
              <w:spacing w:after="0"/>
              <w:rPr>
                <w:sz w:val="20"/>
                <w:szCs w:val="20"/>
                <w:color w:val="auto"/>
              </w:rPr>
            </w:pPr>
            <w:r>
              <w:rPr>
                <w:rFonts w:ascii="Arial" w:cs="Arial" w:eastAsia="Arial" w:hAnsi="Arial"/>
                <w:sz w:val="11"/>
                <w:szCs w:val="11"/>
                <w:b w:val="1"/>
                <w:bCs w:val="1"/>
                <w:color w:val="auto"/>
              </w:rPr>
              <w:t>Vesting</w:t>
            </w:r>
          </w:p>
        </w:tc>
        <w:tc>
          <w:tcPr>
            <w:tcW w:w="12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Unexercised</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Unexercised</w:t>
            </w:r>
          </w:p>
        </w:tc>
        <w:tc>
          <w:tcPr>
            <w:tcW w:w="160" w:type="dxa"/>
            <w:vAlign w:val="bottom"/>
          </w:tcPr>
          <w:p>
            <w:pPr>
              <w:spacing w:after="0"/>
              <w:rPr>
                <w:sz w:val="11"/>
                <w:szCs w:val="11"/>
                <w:color w:val="auto"/>
              </w:rPr>
            </w:pPr>
          </w:p>
        </w:tc>
        <w:tc>
          <w:tcPr>
            <w:tcW w:w="840" w:type="dxa"/>
            <w:vAlign w:val="bottom"/>
          </w:tcPr>
          <w:p>
            <w:pPr>
              <w:ind w:left="160"/>
              <w:spacing w:after="0"/>
              <w:rPr>
                <w:sz w:val="20"/>
                <w:szCs w:val="20"/>
                <w:color w:val="auto"/>
              </w:rPr>
            </w:pPr>
            <w:r>
              <w:rPr>
                <w:rFonts w:ascii="Arial" w:cs="Arial" w:eastAsia="Arial" w:hAnsi="Arial"/>
                <w:sz w:val="11"/>
                <w:szCs w:val="11"/>
                <w:b w:val="1"/>
                <w:bCs w:val="1"/>
                <w:color w:val="auto"/>
              </w:rPr>
              <w:t>Option</w:t>
            </w:r>
          </w:p>
        </w:tc>
        <w:tc>
          <w:tcPr>
            <w:tcW w:w="100" w:type="dxa"/>
            <w:vAlign w:val="bottom"/>
          </w:tcPr>
          <w:p>
            <w:pPr>
              <w:spacing w:after="0"/>
              <w:rPr>
                <w:sz w:val="11"/>
                <w:szCs w:val="11"/>
                <w:color w:val="auto"/>
              </w:rPr>
            </w:pPr>
          </w:p>
        </w:tc>
        <w:tc>
          <w:tcPr>
            <w:tcW w:w="860" w:type="dxa"/>
            <w:vAlign w:val="bottom"/>
          </w:tcPr>
          <w:p>
            <w:pPr>
              <w:jc w:val="right"/>
              <w:ind w:right="243"/>
              <w:spacing w:after="0"/>
              <w:rPr>
                <w:sz w:val="20"/>
                <w:szCs w:val="20"/>
                <w:color w:val="auto"/>
              </w:rPr>
            </w:pPr>
            <w:r>
              <w:rPr>
                <w:rFonts w:ascii="Arial" w:cs="Arial" w:eastAsia="Arial" w:hAnsi="Arial"/>
                <w:sz w:val="11"/>
                <w:szCs w:val="11"/>
                <w:b w:val="1"/>
                <w:bCs w:val="1"/>
                <w:color w:val="auto"/>
              </w:rPr>
              <w:t>Option</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240"/>
              <w:spacing w:after="0"/>
              <w:rPr>
                <w:sz w:val="20"/>
                <w:szCs w:val="20"/>
                <w:color w:val="auto"/>
              </w:rPr>
            </w:pPr>
            <w:r>
              <w:rPr>
                <w:rFonts w:ascii="Arial" w:cs="Arial" w:eastAsia="Arial" w:hAnsi="Arial"/>
                <w:sz w:val="11"/>
                <w:szCs w:val="11"/>
                <w:b w:val="1"/>
                <w:bCs w:val="1"/>
                <w:color w:val="auto"/>
              </w:rPr>
              <w:t>Grant</w:t>
            </w:r>
          </w:p>
        </w:tc>
        <w:tc>
          <w:tcPr>
            <w:tcW w:w="1060" w:type="dxa"/>
            <w:vAlign w:val="bottom"/>
          </w:tcPr>
          <w:p>
            <w:pPr>
              <w:jc w:val="right"/>
              <w:ind w:right="24"/>
              <w:spacing w:after="0"/>
              <w:rPr>
                <w:sz w:val="20"/>
                <w:szCs w:val="20"/>
                <w:color w:val="auto"/>
              </w:rPr>
            </w:pPr>
            <w:r>
              <w:rPr>
                <w:rFonts w:ascii="Arial" w:cs="Arial" w:eastAsia="Arial" w:hAnsi="Arial"/>
                <w:sz w:val="11"/>
                <w:szCs w:val="11"/>
                <w:b w:val="1"/>
                <w:bCs w:val="1"/>
                <w:color w:val="auto"/>
              </w:rPr>
              <w:t>Commencement</w:t>
            </w:r>
          </w:p>
        </w:tc>
        <w:tc>
          <w:tcPr>
            <w:tcW w:w="12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Options (#)</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Options (#)</w:t>
            </w:r>
          </w:p>
        </w:tc>
        <w:tc>
          <w:tcPr>
            <w:tcW w:w="160" w:type="dxa"/>
            <w:vAlign w:val="bottom"/>
          </w:tcPr>
          <w:p>
            <w:pPr>
              <w:spacing w:after="0"/>
              <w:rPr>
                <w:sz w:val="11"/>
                <w:szCs w:val="11"/>
                <w:color w:val="auto"/>
              </w:rPr>
            </w:pPr>
          </w:p>
        </w:tc>
        <w:tc>
          <w:tcPr>
            <w:tcW w:w="840" w:type="dxa"/>
            <w:vAlign w:val="bottom"/>
          </w:tcPr>
          <w:p>
            <w:pPr>
              <w:ind w:left="100"/>
              <w:spacing w:after="0"/>
              <w:rPr>
                <w:sz w:val="20"/>
                <w:szCs w:val="20"/>
                <w:color w:val="auto"/>
              </w:rPr>
            </w:pPr>
            <w:r>
              <w:rPr>
                <w:rFonts w:ascii="Arial" w:cs="Arial" w:eastAsia="Arial" w:hAnsi="Arial"/>
                <w:sz w:val="11"/>
                <w:szCs w:val="11"/>
                <w:b w:val="1"/>
                <w:bCs w:val="1"/>
                <w:color w:val="auto"/>
              </w:rPr>
              <w:t>Exercise</w:t>
            </w:r>
          </w:p>
        </w:tc>
        <w:tc>
          <w:tcPr>
            <w:tcW w:w="100" w:type="dxa"/>
            <w:vAlign w:val="bottom"/>
          </w:tcPr>
          <w:p>
            <w:pPr>
              <w:spacing w:after="0"/>
              <w:rPr>
                <w:sz w:val="11"/>
                <w:szCs w:val="11"/>
                <w:color w:val="auto"/>
              </w:rPr>
            </w:pPr>
          </w:p>
        </w:tc>
        <w:tc>
          <w:tcPr>
            <w:tcW w:w="860" w:type="dxa"/>
            <w:vAlign w:val="bottom"/>
          </w:tcPr>
          <w:p>
            <w:pPr>
              <w:jc w:val="right"/>
              <w:ind w:right="143"/>
              <w:spacing w:after="0"/>
              <w:rPr>
                <w:sz w:val="20"/>
                <w:szCs w:val="20"/>
                <w:color w:val="auto"/>
              </w:rPr>
            </w:pPr>
            <w:r>
              <w:rPr>
                <w:rFonts w:ascii="Arial" w:cs="Arial" w:eastAsia="Arial" w:hAnsi="Arial"/>
                <w:sz w:val="11"/>
                <w:szCs w:val="11"/>
                <w:b w:val="1"/>
                <w:bCs w:val="1"/>
                <w:color w:val="auto"/>
              </w:rPr>
              <w:t>Expiration</w:t>
            </w:r>
          </w:p>
        </w:tc>
      </w:tr>
      <w:tr>
        <w:trPr>
          <w:trHeight w:val="137"/>
        </w:trPr>
        <w:tc>
          <w:tcPr>
            <w:tcW w:w="1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Exercisable</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Unexercisable</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Price ($)</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Date</w:t>
            </w:r>
          </w:p>
        </w:tc>
      </w:tr>
      <w:tr>
        <w:trPr>
          <w:trHeight w:val="124"/>
        </w:trPr>
        <w:tc>
          <w:tcPr>
            <w:tcW w:w="1660" w:type="dxa"/>
            <w:vAlign w:val="bottom"/>
            <w:gridSpan w:val="2"/>
          </w:tcPr>
          <w:p>
            <w:pPr>
              <w:spacing w:after="0" w:line="124" w:lineRule="exact"/>
              <w:rPr>
                <w:sz w:val="20"/>
                <w:szCs w:val="20"/>
                <w:color w:val="auto"/>
              </w:rPr>
            </w:pPr>
            <w:r>
              <w:rPr>
                <w:rFonts w:ascii="Arial" w:cs="Arial" w:eastAsia="Arial" w:hAnsi="Arial"/>
                <w:sz w:val="11"/>
                <w:szCs w:val="11"/>
                <w:color w:val="auto"/>
              </w:rPr>
              <w:t>Gary D. Glick, Ph.D.</w:t>
            </w:r>
          </w:p>
        </w:tc>
        <w:tc>
          <w:tcPr>
            <w:tcW w:w="92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9/22/2025</w:t>
            </w:r>
          </w:p>
        </w:tc>
        <w:tc>
          <w:tcPr>
            <w:tcW w:w="1060" w:type="dxa"/>
            <w:vAlign w:val="bottom"/>
          </w:tcPr>
          <w:p>
            <w:pPr>
              <w:jc w:val="right"/>
              <w:ind w:right="24"/>
              <w:spacing w:after="0" w:line="124" w:lineRule="exact"/>
              <w:rPr>
                <w:sz w:val="20"/>
                <w:szCs w:val="20"/>
                <w:color w:val="auto"/>
              </w:rPr>
            </w:pPr>
            <w:r>
              <w:rPr>
                <w:rFonts w:ascii="Arial" w:cs="Arial" w:eastAsia="Arial" w:hAnsi="Arial"/>
                <w:sz w:val="11"/>
                <w:szCs w:val="11"/>
                <w:color w:val="auto"/>
              </w:rPr>
              <w:t>9/10/2025</w:t>
            </w:r>
          </w:p>
        </w:tc>
        <w:tc>
          <w:tcPr>
            <w:tcW w:w="10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571,742</w:t>
            </w:r>
          </w:p>
        </w:tc>
        <w:tc>
          <w:tcPr>
            <w:tcW w:w="100" w:type="dxa"/>
            <w:vAlign w:val="bottom"/>
          </w:tcPr>
          <w:p>
            <w:pPr>
              <w:spacing w:after="0"/>
              <w:rPr>
                <w:sz w:val="10"/>
                <w:szCs w:val="10"/>
                <w:color w:val="auto"/>
              </w:rPr>
            </w:pPr>
          </w:p>
        </w:tc>
        <w:tc>
          <w:tcPr>
            <w:tcW w:w="10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8,576,132</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line="124" w:lineRule="exact"/>
              <w:rPr>
                <w:sz w:val="20"/>
                <w:szCs w:val="20"/>
                <w:color w:val="auto"/>
              </w:rPr>
            </w:pPr>
            <w:r>
              <w:rPr>
                <w:rFonts w:ascii="Arial" w:cs="Arial" w:eastAsia="Arial" w:hAnsi="Arial"/>
                <w:sz w:val="11"/>
                <w:szCs w:val="11"/>
                <w:color w:val="auto"/>
              </w:rPr>
              <w:t>0.43</w:t>
            </w:r>
          </w:p>
        </w:tc>
        <w:tc>
          <w:tcPr>
            <w:tcW w:w="960" w:type="dxa"/>
            <w:vAlign w:val="bottom"/>
            <w:gridSpan w:val="2"/>
          </w:tcPr>
          <w:p>
            <w:pPr>
              <w:jc w:val="right"/>
              <w:ind w:right="43"/>
              <w:spacing w:after="0" w:line="124" w:lineRule="exact"/>
              <w:rPr>
                <w:sz w:val="20"/>
                <w:szCs w:val="20"/>
                <w:color w:val="auto"/>
              </w:rPr>
            </w:pPr>
            <w:r>
              <w:rPr>
                <w:rFonts w:ascii="Arial" w:cs="Arial" w:eastAsia="Arial" w:hAnsi="Arial"/>
                <w:sz w:val="11"/>
                <w:szCs w:val="11"/>
                <w:color w:val="auto"/>
              </w:rPr>
              <w:t>9/9/2035</w:t>
            </w:r>
          </w:p>
        </w:tc>
      </w:tr>
      <w:tr>
        <w:trPr>
          <w:trHeight w:val="129"/>
        </w:trPr>
        <w:tc>
          <w:tcPr>
            <w:tcW w:w="1660" w:type="dxa"/>
            <w:vAlign w:val="bottom"/>
            <w:gridSpan w:val="2"/>
          </w:tcPr>
          <w:p>
            <w:pPr>
              <w:spacing w:after="0"/>
              <w:rPr>
                <w:sz w:val="20"/>
                <w:szCs w:val="20"/>
                <w:color w:val="auto"/>
              </w:rPr>
            </w:pPr>
            <w:r>
              <w:rPr>
                <w:rFonts w:ascii="Arial" w:cs="Arial" w:eastAsia="Arial" w:hAnsi="Arial"/>
                <w:sz w:val="11"/>
                <w:szCs w:val="11"/>
                <w:i w:val="1"/>
                <w:iCs w:val="1"/>
                <w:color w:val="auto"/>
              </w:rPr>
              <w:t>President and Chief Executive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6"/>
                <w:szCs w:val="6"/>
                <w:color w:val="auto"/>
              </w:rPr>
              <w:t>(2)</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1660" w:type="dxa"/>
            <w:vAlign w:val="bottom"/>
            <w:gridSpan w:val="2"/>
          </w:tcPr>
          <w:p>
            <w:pPr>
              <w:ind w:left="100"/>
              <w:spacing w:after="0"/>
              <w:rPr>
                <w:sz w:val="20"/>
                <w:szCs w:val="20"/>
                <w:color w:val="auto"/>
              </w:rPr>
            </w:pPr>
            <w:r>
              <w:rPr>
                <w:rFonts w:ascii="Arial" w:cs="Arial" w:eastAsia="Arial" w:hAnsi="Arial"/>
                <w:sz w:val="11"/>
                <w:szCs w:val="11"/>
                <w:i w:val="1"/>
                <w:iCs w:val="1"/>
                <w:color w:val="auto"/>
              </w:rPr>
              <w:t>Officer</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9/22/2025</w:t>
            </w: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9/30/2025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3,049,291</w:t>
            </w:r>
          </w:p>
        </w:tc>
        <w:tc>
          <w:tcPr>
            <w:tcW w:w="100" w:type="dxa"/>
            <w:vAlign w:val="bottom"/>
          </w:tcPr>
          <w:p>
            <w:pPr>
              <w:spacing w:after="0"/>
              <w:rPr>
                <w:sz w:val="12"/>
                <w:szCs w:val="12"/>
                <w:color w:val="auto"/>
              </w:rPr>
            </w:pPr>
          </w:p>
        </w:tc>
        <w:tc>
          <w:tcPr>
            <w:tcW w:w="1020" w:type="dxa"/>
            <w:vAlign w:val="bottom"/>
            <w:gridSpan w:val="2"/>
          </w:tcPr>
          <w:p>
            <w:pPr>
              <w:ind w:left="740"/>
              <w:spacing w:after="0"/>
              <w:rPr>
                <w:sz w:val="20"/>
                <w:szCs w:val="20"/>
                <w:color w:val="auto"/>
              </w:rPr>
            </w:pPr>
            <w:r>
              <w:rPr>
                <w:rFonts w:ascii="Arial" w:cs="Arial" w:eastAsia="Arial" w:hAnsi="Arial"/>
                <w:sz w:val="11"/>
                <w:szCs w:val="11"/>
                <w:color w:val="auto"/>
              </w:rPr>
              <w:t>— 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0.43</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9/9/2035</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6/18/2025</w:t>
            </w:r>
          </w:p>
        </w:tc>
        <w:tc>
          <w:tcPr>
            <w:tcW w:w="1060" w:type="dxa"/>
            <w:vAlign w:val="bottom"/>
          </w:tcPr>
          <w:p>
            <w:pPr>
              <w:jc w:val="right"/>
              <w:spacing w:after="0"/>
              <w:rPr>
                <w:sz w:val="20"/>
                <w:szCs w:val="20"/>
                <w:color w:val="auto"/>
              </w:rPr>
            </w:pPr>
            <w:r>
              <w:rPr>
                <w:rFonts w:ascii="Arial" w:cs="Arial" w:eastAsia="Arial" w:hAnsi="Arial"/>
                <w:sz w:val="11"/>
                <w:szCs w:val="11"/>
                <w:color w:val="auto"/>
              </w:rPr>
              <w:t>3/7/2024</w:t>
            </w:r>
            <w:r>
              <w:rPr>
                <w:rFonts w:ascii="Arial" w:cs="Arial" w:eastAsia="Arial" w:hAnsi="Arial"/>
                <w:sz w:val="11"/>
                <w:szCs w:val="11"/>
                <w:color w:val="auto"/>
                <w:vertAlign w:val="subscript"/>
              </w:rPr>
              <w:t>(3)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1,582,943</w:t>
            </w:r>
          </w:p>
        </w:tc>
        <w:tc>
          <w:tcPr>
            <w:tcW w:w="10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2,035,214</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0.41</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3/6/2034</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6/18/2025</w:t>
            </w:r>
          </w:p>
        </w:tc>
        <w:tc>
          <w:tcPr>
            <w:tcW w:w="1060" w:type="dxa"/>
            <w:vAlign w:val="bottom"/>
          </w:tcPr>
          <w:p>
            <w:pPr>
              <w:jc w:val="right"/>
              <w:spacing w:after="0"/>
              <w:rPr>
                <w:sz w:val="20"/>
                <w:szCs w:val="20"/>
                <w:color w:val="auto"/>
              </w:rPr>
            </w:pPr>
            <w:r>
              <w:rPr>
                <w:rFonts w:ascii="Arial" w:cs="Arial" w:eastAsia="Arial" w:hAnsi="Arial"/>
                <w:sz w:val="11"/>
                <w:szCs w:val="11"/>
                <w:color w:val="auto"/>
              </w:rPr>
              <w:t>8/30/2021</w:t>
            </w:r>
            <w:r>
              <w:rPr>
                <w:rFonts w:ascii="Arial" w:cs="Arial" w:eastAsia="Arial" w:hAnsi="Arial"/>
                <w:sz w:val="11"/>
                <w:szCs w:val="11"/>
                <w:color w:val="auto"/>
                <w:vertAlign w:val="subscript"/>
              </w:rPr>
              <w:t>(3)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129,984</w:t>
            </w:r>
          </w:p>
        </w:tc>
        <w:tc>
          <w:tcPr>
            <w:tcW w:w="100" w:type="dxa"/>
            <w:vAlign w:val="bottom"/>
          </w:tcPr>
          <w:p>
            <w:pPr>
              <w:spacing w:after="0"/>
              <w:rPr>
                <w:sz w:val="11"/>
                <w:szCs w:val="11"/>
                <w:color w:val="auto"/>
              </w:rPr>
            </w:pPr>
          </w:p>
        </w:tc>
        <w:tc>
          <w:tcPr>
            <w:tcW w:w="1020" w:type="dxa"/>
            <w:vAlign w:val="bottom"/>
            <w:gridSpan w:val="2"/>
          </w:tcPr>
          <w:p>
            <w:pPr>
              <w:ind w:left="740"/>
              <w:spacing w:after="0"/>
              <w:rPr>
                <w:sz w:val="20"/>
                <w:szCs w:val="20"/>
                <w:color w:val="auto"/>
              </w:rPr>
            </w:pPr>
            <w:r>
              <w:rPr>
                <w:rFonts w:ascii="Arial" w:cs="Arial" w:eastAsia="Arial" w:hAnsi="Arial"/>
                <w:sz w:val="11"/>
                <w:szCs w:val="11"/>
                <w:color w:val="auto"/>
              </w:rPr>
              <w:t>— 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0.41</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6/29/2032</w:t>
            </w:r>
          </w:p>
        </w:tc>
      </w:tr>
      <w:tr>
        <w:trPr>
          <w:trHeight w:val="119"/>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6/18/2025</w:t>
            </w:r>
          </w:p>
        </w:tc>
        <w:tc>
          <w:tcPr>
            <w:tcW w:w="1060" w:type="dxa"/>
            <w:vAlign w:val="bottom"/>
          </w:tcPr>
          <w:p>
            <w:pPr>
              <w:jc w:val="right"/>
              <w:ind w:right="24"/>
              <w:spacing w:after="0" w:line="119" w:lineRule="exact"/>
              <w:rPr>
                <w:sz w:val="20"/>
                <w:szCs w:val="20"/>
                <w:color w:val="auto"/>
              </w:rPr>
            </w:pPr>
            <w:r>
              <w:rPr>
                <w:rFonts w:ascii="Arial" w:cs="Arial" w:eastAsia="Arial" w:hAnsi="Arial"/>
                <w:sz w:val="11"/>
                <w:szCs w:val="11"/>
                <w:color w:val="auto"/>
              </w:rPr>
              <w:t>4/23/2022</w:t>
            </w:r>
          </w:p>
        </w:tc>
        <w:tc>
          <w:tcPr>
            <w:tcW w:w="10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1,251,277</w:t>
            </w:r>
          </w:p>
        </w:tc>
        <w:tc>
          <w:tcPr>
            <w:tcW w:w="100" w:type="dxa"/>
            <w:vAlign w:val="bottom"/>
          </w:tcPr>
          <w:p>
            <w:pPr>
              <w:spacing w:after="0"/>
              <w:rPr>
                <w:sz w:val="10"/>
                <w:szCs w:val="10"/>
                <w:color w:val="auto"/>
              </w:rPr>
            </w:pPr>
          </w:p>
        </w:tc>
        <w:tc>
          <w:tcPr>
            <w:tcW w:w="1020" w:type="dxa"/>
            <w:vAlign w:val="bottom"/>
            <w:gridSpan w:val="2"/>
          </w:tcPr>
          <w:p>
            <w:pPr>
              <w:ind w:left="740"/>
              <w:spacing w:after="0" w:line="119" w:lineRule="exact"/>
              <w:rPr>
                <w:sz w:val="20"/>
                <w:szCs w:val="20"/>
                <w:color w:val="auto"/>
              </w:rPr>
            </w:pPr>
            <w:r>
              <w:rPr>
                <w:rFonts w:ascii="Arial" w:cs="Arial" w:eastAsia="Arial" w:hAnsi="Arial"/>
                <w:sz w:val="11"/>
                <w:szCs w:val="11"/>
                <w:color w:val="auto"/>
              </w:rPr>
              <w:t>— 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line="119" w:lineRule="exact"/>
              <w:rPr>
                <w:sz w:val="20"/>
                <w:szCs w:val="20"/>
                <w:color w:val="auto"/>
              </w:rPr>
            </w:pPr>
            <w:r>
              <w:rPr>
                <w:rFonts w:ascii="Arial" w:cs="Arial" w:eastAsia="Arial" w:hAnsi="Arial"/>
                <w:sz w:val="11"/>
                <w:szCs w:val="11"/>
                <w:color w:val="auto"/>
              </w:rPr>
              <w:t>0.41</w:t>
            </w:r>
          </w:p>
        </w:tc>
        <w:tc>
          <w:tcPr>
            <w:tcW w:w="960" w:type="dxa"/>
            <w:vAlign w:val="bottom"/>
            <w:gridSpan w:val="2"/>
          </w:tcPr>
          <w:p>
            <w:pPr>
              <w:jc w:val="right"/>
              <w:ind w:right="43"/>
              <w:spacing w:after="0" w:line="119" w:lineRule="exact"/>
              <w:rPr>
                <w:sz w:val="20"/>
                <w:szCs w:val="20"/>
                <w:color w:val="auto"/>
              </w:rPr>
            </w:pPr>
            <w:r>
              <w:rPr>
                <w:rFonts w:ascii="Arial" w:cs="Arial" w:eastAsia="Arial" w:hAnsi="Arial"/>
                <w:sz w:val="11"/>
                <w:szCs w:val="11"/>
                <w:color w:val="auto"/>
              </w:rPr>
              <w:t>12/9/2031</w:t>
            </w:r>
          </w:p>
        </w:tc>
      </w:tr>
      <w:tr>
        <w:trPr>
          <w:trHeight w:val="139"/>
        </w:trPr>
        <w:tc>
          <w:tcPr>
            <w:tcW w:w="1660" w:type="dxa"/>
            <w:vAlign w:val="bottom"/>
            <w:gridSpan w:val="2"/>
          </w:tcPr>
          <w:p>
            <w:pPr>
              <w:spacing w:after="0"/>
              <w:rPr>
                <w:sz w:val="20"/>
                <w:szCs w:val="20"/>
                <w:color w:val="auto"/>
              </w:rPr>
            </w:pPr>
            <w:r>
              <w:rPr>
                <w:rFonts w:ascii="Arial" w:cs="Arial" w:eastAsia="Arial" w:hAnsi="Arial"/>
                <w:sz w:val="11"/>
                <w:szCs w:val="11"/>
                <w:color w:val="auto"/>
              </w:rPr>
              <w:t>Jason Haas</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9/22/2025</w:t>
            </w:r>
          </w:p>
        </w:tc>
        <w:tc>
          <w:tcPr>
            <w:tcW w:w="1060" w:type="dxa"/>
            <w:vAlign w:val="bottom"/>
          </w:tcPr>
          <w:p>
            <w:pPr>
              <w:jc w:val="right"/>
              <w:spacing w:after="0"/>
              <w:rPr>
                <w:sz w:val="20"/>
                <w:szCs w:val="20"/>
                <w:color w:val="auto"/>
              </w:rPr>
            </w:pPr>
            <w:r>
              <w:rPr>
                <w:rFonts w:ascii="Arial" w:cs="Arial" w:eastAsia="Arial" w:hAnsi="Arial"/>
                <w:sz w:val="11"/>
                <w:szCs w:val="11"/>
                <w:color w:val="auto"/>
              </w:rPr>
              <w:t>9/10/2025</w:t>
            </w:r>
            <w:r>
              <w:rPr>
                <w:rFonts w:ascii="Arial" w:cs="Arial" w:eastAsia="Arial" w:hAnsi="Arial"/>
                <w:sz w:val="11"/>
                <w:szCs w:val="11"/>
                <w:color w:val="auto"/>
                <w:vertAlign w:val="subscript"/>
              </w:rPr>
              <w:t>(2)</w:t>
            </w:r>
          </w:p>
        </w:tc>
        <w:tc>
          <w:tcPr>
            <w:tcW w:w="1120" w:type="dxa"/>
            <w:vAlign w:val="bottom"/>
            <w:gridSpan w:val="3"/>
          </w:tcPr>
          <w:p>
            <w:pPr>
              <w:jc w:val="right"/>
              <w:ind w:right="100"/>
              <w:spacing w:after="0"/>
              <w:rPr>
                <w:sz w:val="20"/>
                <w:szCs w:val="20"/>
                <w:color w:val="auto"/>
              </w:rPr>
            </w:pPr>
            <w:r>
              <w:rPr>
                <w:rFonts w:ascii="Arial" w:cs="Arial" w:eastAsia="Arial" w:hAnsi="Arial"/>
                <w:sz w:val="11"/>
                <w:szCs w:val="11"/>
                <w:color w:val="auto"/>
              </w:rPr>
              <w:t>79,832</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1,197,480</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rPr>
              <w:t>0.43</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9/9/2035</w:t>
            </w:r>
          </w:p>
        </w:tc>
      </w:tr>
      <w:tr>
        <w:trPr>
          <w:trHeight w:val="129"/>
        </w:trPr>
        <w:tc>
          <w:tcPr>
            <w:tcW w:w="1660" w:type="dxa"/>
            <w:vAlign w:val="bottom"/>
            <w:gridSpan w:val="2"/>
          </w:tcPr>
          <w:p>
            <w:pPr>
              <w:spacing w:after="0"/>
              <w:rPr>
                <w:sz w:val="20"/>
                <w:szCs w:val="20"/>
                <w:color w:val="auto"/>
              </w:rPr>
            </w:pPr>
            <w:r>
              <w:rPr>
                <w:rFonts w:ascii="Arial" w:cs="Arial" w:eastAsia="Arial" w:hAnsi="Arial"/>
                <w:sz w:val="11"/>
                <w:szCs w:val="11"/>
                <w:i w:val="1"/>
                <w:iCs w:val="1"/>
                <w:color w:val="auto"/>
              </w:rPr>
              <w:t>Chief Financial Officer</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9/22/2025</w:t>
            </w:r>
          </w:p>
        </w:tc>
        <w:tc>
          <w:tcPr>
            <w:tcW w:w="1060" w:type="dxa"/>
            <w:vAlign w:val="bottom"/>
          </w:tcPr>
          <w:p>
            <w:pPr>
              <w:jc w:val="right"/>
              <w:spacing w:after="0"/>
              <w:rPr>
                <w:sz w:val="20"/>
                <w:szCs w:val="20"/>
                <w:color w:val="auto"/>
              </w:rPr>
            </w:pPr>
            <w:r>
              <w:rPr>
                <w:rFonts w:ascii="Arial" w:cs="Arial" w:eastAsia="Arial" w:hAnsi="Arial"/>
                <w:sz w:val="11"/>
                <w:szCs w:val="11"/>
                <w:color w:val="auto"/>
              </w:rPr>
              <w:t>9/30/2025</w:t>
            </w:r>
            <w:r>
              <w:rPr>
                <w:rFonts w:ascii="Arial" w:cs="Arial" w:eastAsia="Arial" w:hAnsi="Arial"/>
                <w:sz w:val="11"/>
                <w:szCs w:val="11"/>
                <w:color w:val="auto"/>
                <w:vertAlign w:val="subscript"/>
              </w:rPr>
              <w:t>(3)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425,771</w:t>
            </w:r>
          </w:p>
        </w:tc>
        <w:tc>
          <w:tcPr>
            <w:tcW w:w="100" w:type="dxa"/>
            <w:vAlign w:val="bottom"/>
          </w:tcPr>
          <w:p>
            <w:pPr>
              <w:spacing w:after="0"/>
              <w:rPr>
                <w:sz w:val="11"/>
                <w:szCs w:val="11"/>
                <w:color w:val="auto"/>
              </w:rPr>
            </w:pPr>
          </w:p>
        </w:tc>
        <w:tc>
          <w:tcPr>
            <w:tcW w:w="1020" w:type="dxa"/>
            <w:vAlign w:val="bottom"/>
            <w:gridSpan w:val="2"/>
          </w:tcPr>
          <w:p>
            <w:pPr>
              <w:ind w:left="740"/>
              <w:spacing w:after="0"/>
              <w:rPr>
                <w:sz w:val="20"/>
                <w:szCs w:val="20"/>
                <w:color w:val="auto"/>
              </w:rPr>
            </w:pPr>
            <w:r>
              <w:rPr>
                <w:rFonts w:ascii="Arial" w:cs="Arial" w:eastAsia="Arial" w:hAnsi="Arial"/>
                <w:sz w:val="11"/>
                <w:szCs w:val="11"/>
                <w:color w:val="auto"/>
              </w:rPr>
              <w:t>— 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0.43</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9/9/2035</w:t>
            </w:r>
          </w:p>
        </w:tc>
      </w:tr>
      <w:tr>
        <w:trPr>
          <w:trHeight w:val="119"/>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6/18/2025</w:t>
            </w:r>
          </w:p>
        </w:tc>
        <w:tc>
          <w:tcPr>
            <w:tcW w:w="1060" w:type="dxa"/>
            <w:vAlign w:val="bottom"/>
          </w:tcPr>
          <w:p>
            <w:pPr>
              <w:jc w:val="right"/>
              <w:ind w:right="64"/>
              <w:spacing w:after="0" w:line="119" w:lineRule="exact"/>
              <w:rPr>
                <w:sz w:val="20"/>
                <w:szCs w:val="20"/>
                <w:color w:val="auto"/>
              </w:rPr>
            </w:pPr>
            <w:r>
              <w:rPr>
                <w:rFonts w:ascii="Arial" w:cs="Arial" w:eastAsia="Arial" w:hAnsi="Arial"/>
                <w:sz w:val="11"/>
                <w:szCs w:val="11"/>
                <w:color w:val="auto"/>
              </w:rPr>
              <w:t>12/20/2024</w:t>
            </w:r>
          </w:p>
        </w:tc>
        <w:tc>
          <w:tcPr>
            <w:tcW w:w="10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415,289</w:t>
            </w:r>
          </w:p>
        </w:tc>
        <w:tc>
          <w:tcPr>
            <w:tcW w:w="100" w:type="dxa"/>
            <w:vAlign w:val="bottom"/>
          </w:tcPr>
          <w:p>
            <w:pPr>
              <w:spacing w:after="0"/>
              <w:rPr>
                <w:sz w:val="10"/>
                <w:szCs w:val="10"/>
                <w:color w:val="auto"/>
              </w:rPr>
            </w:pPr>
          </w:p>
        </w:tc>
        <w:tc>
          <w:tcPr>
            <w:tcW w:w="10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1,245,868</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line="119" w:lineRule="exact"/>
              <w:rPr>
                <w:sz w:val="20"/>
                <w:szCs w:val="20"/>
                <w:color w:val="auto"/>
              </w:rPr>
            </w:pPr>
            <w:r>
              <w:rPr>
                <w:rFonts w:ascii="Arial" w:cs="Arial" w:eastAsia="Arial" w:hAnsi="Arial"/>
                <w:sz w:val="11"/>
                <w:szCs w:val="11"/>
                <w:color w:val="auto"/>
              </w:rPr>
              <w:t>0.41</w:t>
            </w:r>
          </w:p>
        </w:tc>
        <w:tc>
          <w:tcPr>
            <w:tcW w:w="960" w:type="dxa"/>
            <w:vAlign w:val="bottom"/>
            <w:gridSpan w:val="2"/>
          </w:tcPr>
          <w:p>
            <w:pPr>
              <w:jc w:val="right"/>
              <w:ind w:right="43"/>
              <w:spacing w:after="0" w:line="119" w:lineRule="exact"/>
              <w:rPr>
                <w:sz w:val="20"/>
                <w:szCs w:val="20"/>
                <w:color w:val="auto"/>
              </w:rPr>
            </w:pPr>
            <w:r>
              <w:rPr>
                <w:rFonts w:ascii="Arial" w:cs="Arial" w:eastAsia="Arial" w:hAnsi="Arial"/>
                <w:sz w:val="11"/>
                <w:szCs w:val="11"/>
                <w:color w:val="auto"/>
              </w:rPr>
              <w:t>12/17/2034</w:t>
            </w:r>
          </w:p>
        </w:tc>
      </w:tr>
      <w:tr>
        <w:trPr>
          <w:trHeight w:val="129"/>
        </w:trPr>
        <w:tc>
          <w:tcPr>
            <w:tcW w:w="1660" w:type="dxa"/>
            <w:vAlign w:val="bottom"/>
            <w:gridSpan w:val="2"/>
          </w:tcPr>
          <w:p>
            <w:pPr>
              <w:spacing w:after="0"/>
              <w:rPr>
                <w:sz w:val="20"/>
                <w:szCs w:val="20"/>
                <w:color w:val="auto"/>
              </w:rPr>
            </w:pPr>
            <w:r>
              <w:rPr>
                <w:rFonts w:ascii="Arial" w:cs="Arial" w:eastAsia="Arial" w:hAnsi="Arial"/>
                <w:sz w:val="11"/>
                <w:szCs w:val="11"/>
                <w:color w:val="auto"/>
              </w:rPr>
              <w:t>Collin Todd</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12/30/2025</w:t>
            </w: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12/22/2025</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563,000</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rPr>
              <w:t>0.43</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12/29/2035</w:t>
            </w:r>
          </w:p>
        </w:tc>
      </w:tr>
      <w:tr>
        <w:trPr>
          <w:trHeight w:val="129"/>
        </w:trPr>
        <w:tc>
          <w:tcPr>
            <w:tcW w:w="1660" w:type="dxa"/>
            <w:vAlign w:val="bottom"/>
            <w:gridSpan w:val="2"/>
          </w:tcPr>
          <w:p>
            <w:pPr>
              <w:spacing w:after="0"/>
              <w:rPr>
                <w:sz w:val="20"/>
                <w:szCs w:val="20"/>
                <w:color w:val="auto"/>
              </w:rPr>
            </w:pPr>
            <w:r>
              <w:rPr>
                <w:rFonts w:ascii="Arial" w:cs="Arial" w:eastAsia="Arial" w:hAnsi="Arial"/>
                <w:sz w:val="11"/>
                <w:szCs w:val="11"/>
                <w:i w:val="1"/>
                <w:iCs w:val="1"/>
                <w:color w:val="auto"/>
              </w:rPr>
              <w:t>Senior Vice President,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1660" w:type="dxa"/>
            <w:vAlign w:val="bottom"/>
            <w:gridSpan w:val="2"/>
          </w:tcPr>
          <w:p>
            <w:pPr>
              <w:spacing w:after="0"/>
              <w:rPr>
                <w:sz w:val="20"/>
                <w:szCs w:val="20"/>
                <w:color w:val="auto"/>
              </w:rPr>
            </w:pPr>
            <w:r>
              <w:rPr>
                <w:rFonts w:ascii="Arial" w:cs="Arial" w:eastAsia="Arial" w:hAnsi="Arial"/>
                <w:sz w:val="11"/>
                <w:szCs w:val="11"/>
                <w:i w:val="1"/>
                <w:iCs w:val="1"/>
                <w:color w:val="auto"/>
              </w:rPr>
              <w:t>Strategy</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1660" w:type="dxa"/>
            <w:vAlign w:val="bottom"/>
            <w:gridSpan w:val="2"/>
          </w:tcPr>
          <w:p>
            <w:pPr>
              <w:ind w:left="100"/>
              <w:spacing w:after="0"/>
              <w:rPr>
                <w:sz w:val="20"/>
                <w:szCs w:val="20"/>
                <w:color w:val="auto"/>
              </w:rPr>
            </w:pPr>
            <w:r>
              <w:rPr>
                <w:rFonts w:ascii="Arial" w:cs="Arial" w:eastAsia="Arial" w:hAnsi="Arial"/>
                <w:sz w:val="11"/>
                <w:szCs w:val="11"/>
                <w:i w:val="1"/>
                <w:iCs w:val="1"/>
                <w:color w:val="auto"/>
              </w:rPr>
              <w:t>and Business Development</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9/22/2025</w:t>
            </w:r>
          </w:p>
        </w:tc>
        <w:tc>
          <w:tcPr>
            <w:tcW w:w="1060" w:type="dxa"/>
            <w:vAlign w:val="bottom"/>
          </w:tcPr>
          <w:p>
            <w:pPr>
              <w:jc w:val="right"/>
              <w:spacing w:after="0"/>
              <w:rPr>
                <w:sz w:val="20"/>
                <w:szCs w:val="20"/>
                <w:color w:val="auto"/>
              </w:rPr>
            </w:pPr>
            <w:r>
              <w:rPr>
                <w:rFonts w:ascii="Arial" w:cs="Arial" w:eastAsia="Arial" w:hAnsi="Arial"/>
                <w:sz w:val="11"/>
                <w:szCs w:val="11"/>
                <w:color w:val="auto"/>
              </w:rPr>
              <w:t>9/10/2025</w:t>
            </w:r>
            <w:r>
              <w:rPr>
                <w:rFonts w:ascii="Arial" w:cs="Arial" w:eastAsia="Arial" w:hAnsi="Arial"/>
                <w:sz w:val="11"/>
                <w:szCs w:val="11"/>
                <w:color w:val="auto"/>
                <w:vertAlign w:val="subscript"/>
              </w:rPr>
              <w:t>(2)</w:t>
            </w:r>
          </w:p>
        </w:tc>
        <w:tc>
          <w:tcPr>
            <w:tcW w:w="1120" w:type="dxa"/>
            <w:vAlign w:val="bottom"/>
            <w:gridSpan w:val="3"/>
          </w:tcPr>
          <w:p>
            <w:pPr>
              <w:jc w:val="right"/>
              <w:ind w:right="100"/>
              <w:spacing w:after="0"/>
              <w:rPr>
                <w:sz w:val="20"/>
                <w:szCs w:val="20"/>
                <w:color w:val="auto"/>
              </w:rPr>
            </w:pPr>
            <w:r>
              <w:rPr>
                <w:rFonts w:ascii="Arial" w:cs="Arial" w:eastAsia="Arial" w:hAnsi="Arial"/>
                <w:sz w:val="11"/>
                <w:szCs w:val="11"/>
                <w:color w:val="auto"/>
              </w:rPr>
              <w:t>28,025</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420,387</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rPr>
              <w:t>0.43</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9/9/2035</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9/22/2025</w:t>
            </w: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9/30/2025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149,470</w:t>
            </w:r>
          </w:p>
        </w:tc>
        <w:tc>
          <w:tcPr>
            <w:tcW w:w="100" w:type="dxa"/>
            <w:vAlign w:val="bottom"/>
          </w:tcPr>
          <w:p>
            <w:pPr>
              <w:spacing w:after="0"/>
              <w:rPr>
                <w:sz w:val="11"/>
                <w:szCs w:val="11"/>
                <w:color w:val="auto"/>
              </w:rPr>
            </w:pPr>
          </w:p>
        </w:tc>
        <w:tc>
          <w:tcPr>
            <w:tcW w:w="1020" w:type="dxa"/>
            <w:vAlign w:val="bottom"/>
            <w:gridSpan w:val="2"/>
          </w:tcPr>
          <w:p>
            <w:pPr>
              <w:ind w:left="740"/>
              <w:spacing w:after="0"/>
              <w:rPr>
                <w:sz w:val="20"/>
                <w:szCs w:val="20"/>
                <w:color w:val="auto"/>
              </w:rPr>
            </w:pPr>
            <w:r>
              <w:rPr>
                <w:rFonts w:ascii="Arial" w:cs="Arial" w:eastAsia="Arial" w:hAnsi="Arial"/>
                <w:sz w:val="11"/>
                <w:szCs w:val="11"/>
                <w:color w:val="auto"/>
              </w:rPr>
              <w:t>— 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0.43</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9/9/2035</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6/18/2025</w:t>
            </w: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1/1/2025</w:t>
            </w:r>
          </w:p>
        </w:tc>
        <w:tc>
          <w:tcPr>
            <w:tcW w:w="1120" w:type="dxa"/>
            <w:vAlign w:val="bottom"/>
            <w:gridSpan w:val="3"/>
          </w:tcPr>
          <w:p>
            <w:pPr>
              <w:jc w:val="right"/>
              <w:ind w:right="100"/>
              <w:spacing w:after="0"/>
              <w:rPr>
                <w:sz w:val="20"/>
                <w:szCs w:val="20"/>
                <w:color w:val="auto"/>
              </w:rPr>
            </w:pPr>
            <w:r>
              <w:rPr>
                <w:rFonts w:ascii="Arial" w:cs="Arial" w:eastAsia="Arial" w:hAnsi="Arial"/>
                <w:sz w:val="11"/>
                <w:szCs w:val="11"/>
                <w:color w:val="auto"/>
              </w:rPr>
              <w:t>45,833</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154,167</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0.41</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12/12/2034</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6/18/2025</w:t>
            </w: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6/4/2024</w:t>
            </w:r>
          </w:p>
        </w:tc>
        <w:tc>
          <w:tcPr>
            <w:tcW w:w="1120" w:type="dxa"/>
            <w:vAlign w:val="bottom"/>
            <w:gridSpan w:val="3"/>
          </w:tcPr>
          <w:p>
            <w:pPr>
              <w:jc w:val="right"/>
              <w:ind w:right="100"/>
              <w:spacing w:after="0"/>
              <w:rPr>
                <w:sz w:val="20"/>
                <w:szCs w:val="20"/>
                <w:color w:val="auto"/>
              </w:rPr>
            </w:pPr>
            <w:r>
              <w:rPr>
                <w:rFonts w:ascii="Arial" w:cs="Arial" w:eastAsia="Arial" w:hAnsi="Arial"/>
                <w:sz w:val="11"/>
                <w:szCs w:val="11"/>
                <w:color w:val="auto"/>
              </w:rPr>
              <w:t>18,750</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31,250</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0.41</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6/3/2034</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6/18/2025</w:t>
            </w: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3/7/2024</w:t>
            </w:r>
          </w:p>
        </w:tc>
        <w:tc>
          <w:tcPr>
            <w:tcW w:w="1120" w:type="dxa"/>
            <w:vAlign w:val="bottom"/>
            <w:gridSpan w:val="3"/>
          </w:tcPr>
          <w:p>
            <w:pPr>
              <w:jc w:val="right"/>
              <w:ind w:right="100"/>
              <w:spacing w:after="0"/>
              <w:rPr>
                <w:sz w:val="20"/>
                <w:szCs w:val="20"/>
                <w:color w:val="auto"/>
              </w:rPr>
            </w:pPr>
            <w:r>
              <w:rPr>
                <w:rFonts w:ascii="Arial" w:cs="Arial" w:eastAsia="Arial" w:hAnsi="Arial"/>
                <w:sz w:val="11"/>
                <w:szCs w:val="11"/>
                <w:color w:val="auto"/>
              </w:rPr>
              <w:t>48,467</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62,315</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0.41</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3/6/2034</w:t>
            </w: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6/18/2025</w:t>
            </w:r>
          </w:p>
        </w:tc>
        <w:tc>
          <w:tcPr>
            <w:tcW w:w="1060" w:type="dxa"/>
            <w:vAlign w:val="bottom"/>
          </w:tcPr>
          <w:p>
            <w:pPr>
              <w:jc w:val="right"/>
              <w:spacing w:after="0"/>
              <w:rPr>
                <w:sz w:val="20"/>
                <w:szCs w:val="20"/>
                <w:color w:val="auto"/>
              </w:rPr>
            </w:pPr>
            <w:r>
              <w:rPr>
                <w:rFonts w:ascii="Arial" w:cs="Arial" w:eastAsia="Arial" w:hAnsi="Arial"/>
                <w:sz w:val="11"/>
                <w:szCs w:val="11"/>
                <w:color w:val="auto"/>
              </w:rPr>
              <w:t>12/16/2022</w:t>
            </w:r>
            <w:r>
              <w:rPr>
                <w:rFonts w:ascii="Arial" w:cs="Arial" w:eastAsia="Arial" w:hAnsi="Arial"/>
                <w:sz w:val="11"/>
                <w:szCs w:val="11"/>
                <w:color w:val="auto"/>
                <w:vertAlign w:val="subscript"/>
              </w:rPr>
              <w:t>(3)</w:t>
            </w:r>
          </w:p>
        </w:tc>
        <w:tc>
          <w:tcPr>
            <w:tcW w:w="1120" w:type="dxa"/>
            <w:vAlign w:val="bottom"/>
            <w:gridSpan w:val="3"/>
          </w:tcPr>
          <w:p>
            <w:pPr>
              <w:jc w:val="right"/>
              <w:ind w:right="100"/>
              <w:spacing w:after="0"/>
              <w:rPr>
                <w:sz w:val="20"/>
                <w:szCs w:val="20"/>
                <w:color w:val="auto"/>
              </w:rPr>
            </w:pPr>
            <w:r>
              <w:rPr>
                <w:rFonts w:ascii="Arial" w:cs="Arial" w:eastAsia="Arial" w:hAnsi="Arial"/>
                <w:sz w:val="11"/>
                <w:szCs w:val="11"/>
                <w:color w:val="auto"/>
              </w:rPr>
              <w:t>55,595</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18,532</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w w:val="98"/>
              </w:rPr>
              <w:t>0.41</w:t>
            </w:r>
            <w:r>
              <w:rPr>
                <w:rFonts w:ascii="Arial" w:cs="Arial" w:eastAsia="Arial" w:hAnsi="Arial"/>
                <w:sz w:val="11"/>
                <w:szCs w:val="11"/>
                <w:color w:val="auto"/>
                <w:w w:val="98"/>
                <w:vertAlign w:val="subscript"/>
              </w:rPr>
              <w:t>(4)</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12/15/2032</w:t>
            </w:r>
          </w:p>
        </w:tc>
      </w:tr>
      <w:tr>
        <w:trPr>
          <w:trHeight w:val="150"/>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6/18/2025</w:t>
            </w: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12/24/2021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148,254</w:t>
            </w:r>
          </w:p>
        </w:tc>
        <w:tc>
          <w:tcPr>
            <w:tcW w:w="100" w:type="dxa"/>
            <w:vAlign w:val="bottom"/>
          </w:tcPr>
          <w:p>
            <w:pPr>
              <w:spacing w:after="0"/>
              <w:rPr>
                <w:sz w:val="13"/>
                <w:szCs w:val="13"/>
                <w:color w:val="auto"/>
              </w:rPr>
            </w:pPr>
          </w:p>
        </w:tc>
        <w:tc>
          <w:tcPr>
            <w:tcW w:w="1020" w:type="dxa"/>
            <w:vAlign w:val="bottom"/>
            <w:gridSpan w:val="2"/>
          </w:tcPr>
          <w:p>
            <w:pPr>
              <w:ind w:left="740"/>
              <w:spacing w:after="0"/>
              <w:rPr>
                <w:sz w:val="20"/>
                <w:szCs w:val="20"/>
                <w:color w:val="auto"/>
              </w:rPr>
            </w:pPr>
            <w:r>
              <w:rPr>
                <w:rFonts w:ascii="Arial" w:cs="Arial" w:eastAsia="Arial" w:hAnsi="Arial"/>
                <w:sz w:val="11"/>
                <w:szCs w:val="11"/>
                <w:color w:val="auto"/>
              </w:rPr>
              <w:t>— 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520"/>
              <w:spacing w:after="0"/>
              <w:rPr>
                <w:sz w:val="20"/>
                <w:szCs w:val="20"/>
                <w:color w:val="auto"/>
              </w:rPr>
            </w:pPr>
            <w:r>
              <w:rPr>
                <w:rFonts w:ascii="Arial" w:cs="Arial" w:eastAsia="Arial" w:hAnsi="Arial"/>
                <w:sz w:val="11"/>
                <w:szCs w:val="11"/>
                <w:color w:val="auto"/>
              </w:rPr>
              <w:t>0.41</w:t>
            </w:r>
          </w:p>
        </w:tc>
        <w:tc>
          <w:tcPr>
            <w:tcW w:w="960" w:type="dxa"/>
            <w:vAlign w:val="bottom"/>
            <w:gridSpan w:val="2"/>
          </w:tcPr>
          <w:p>
            <w:pPr>
              <w:jc w:val="right"/>
              <w:ind w:right="43"/>
              <w:spacing w:after="0"/>
              <w:rPr>
                <w:sz w:val="20"/>
                <w:szCs w:val="20"/>
                <w:color w:val="auto"/>
              </w:rPr>
            </w:pPr>
            <w:r>
              <w:rPr>
                <w:rFonts w:ascii="Arial" w:cs="Arial" w:eastAsia="Arial" w:hAnsi="Arial"/>
                <w:sz w:val="11"/>
                <w:szCs w:val="11"/>
                <w:color w:val="auto"/>
              </w:rPr>
              <w:t>6/29/2032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52705</wp:posOffset>
            </wp:positionV>
            <wp:extent cx="45720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57200" cy="6985"/>
                    </a:xfrm>
                    <a:prstGeom prst="rect">
                      <a:avLst/>
                    </a:prstGeom>
                    <a:noFill/>
                  </pic:spPr>
                </pic:pic>
              </a:graphicData>
            </a:graphic>
          </wp:anchor>
        </w:drawing>
      </w:r>
    </w:p>
    <w:p>
      <w:pPr>
        <w:spacing w:after="0" w:line="110" w:lineRule="exact"/>
        <w:rPr>
          <w:sz w:val="20"/>
          <w:szCs w:val="20"/>
          <w:color w:val="auto"/>
        </w:rPr>
      </w:pPr>
    </w:p>
    <w:p>
      <w:pPr>
        <w:ind w:left="1080" w:right="839" w:hanging="442"/>
        <w:spacing w:after="0" w:line="254" w:lineRule="auto"/>
        <w:tabs>
          <w:tab w:leader="none" w:pos="10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Each stock option award is subject to the terms of the 2021 Plan. Except where otherwise noted, each stock option vests on a monthly basis thereafter, in each case, subject to the executive’s continuous service relationship with us through each applicable vesting date.</w:t>
      </w:r>
    </w:p>
    <w:p>
      <w:pPr>
        <w:ind w:left="1080" w:hanging="442"/>
        <w:spacing w:after="0"/>
        <w:tabs>
          <w:tab w:leader="none" w:pos="10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Stock option award fully vested on September 30, 2025 following satisfaction of performance-based conditions.</w:t>
      </w:r>
    </w:p>
    <w:p>
      <w:pPr>
        <w:spacing w:after="0" w:line="2" w:lineRule="exact"/>
        <w:rPr>
          <w:rFonts w:ascii="Arial" w:cs="Arial" w:eastAsia="Arial" w:hAnsi="Arial"/>
          <w:sz w:val="11"/>
          <w:szCs w:val="11"/>
          <w:color w:val="auto"/>
        </w:rPr>
      </w:pPr>
    </w:p>
    <w:p>
      <w:pPr>
        <w:ind w:left="1080" w:right="699" w:hanging="442"/>
        <w:spacing w:after="0" w:line="244" w:lineRule="auto"/>
        <w:tabs>
          <w:tab w:leader="none" w:pos="10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Stock option vests as follows: 25% of the shares subject to the stock option vested or will vest on the one-year anniversary of the vesting commencement date, and the remaining 75% of the shares subject to the stock option vested or will vest on a monthly basis thereafter, in each case, subject to the executive’s continuous service relationship with us through each applicable vesting date.</w:t>
      </w:r>
    </w:p>
    <w:p>
      <w:pPr>
        <w:ind w:left="1080" w:right="679" w:hanging="442"/>
        <w:spacing w:after="0" w:line="250" w:lineRule="auto"/>
        <w:tabs>
          <w:tab w:leader="none" w:pos="10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Represents options that were initially granted on various dates and at various exercise prices between December 10, 2021 and December 18, 2024. Pursuant to our stock option repricing on June 18, 2025, the exercise prices of such options and other outstanding stock options were modified to be $0.41 per share, which represented the fair market value of our common stock on the repricing date, as determined by our board of directors. The stock option repricing did not change the number of shares underlying the options or their respective expiration dates. See the section titled “—</w:t>
      </w:r>
      <w:r>
        <w:rPr>
          <w:rFonts w:ascii="Arial" w:cs="Arial" w:eastAsia="Arial" w:hAnsi="Arial"/>
          <w:sz w:val="11"/>
          <w:szCs w:val="11"/>
          <w:i w:val="1"/>
          <w:iCs w:val="1"/>
          <w:color w:val="auto"/>
        </w:rPr>
        <w:t>Option Repricing</w:t>
      </w:r>
      <w:r>
        <w:rPr>
          <w:rFonts w:ascii="Arial" w:cs="Arial" w:eastAsia="Arial" w:hAnsi="Arial"/>
          <w:sz w:val="11"/>
          <w:szCs w:val="11"/>
          <w:color w:val="auto"/>
        </w:rPr>
        <w:t>” above for more information.</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Equity Benefit Plans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2026 Long-Term Incentive Plan</w:t>
      </w:r>
    </w:p>
    <w:p>
      <w:pPr>
        <w:spacing w:after="0" w:line="84" w:lineRule="exact"/>
        <w:rPr>
          <w:sz w:val="20"/>
          <w:szCs w:val="20"/>
          <w:color w:val="auto"/>
        </w:rPr>
      </w:pPr>
    </w:p>
    <w:p>
      <w:pPr>
        <w:ind w:left="640" w:right="719" w:firstLine="438"/>
        <w:spacing w:after="0" w:line="247" w:lineRule="auto"/>
        <w:rPr>
          <w:sz w:val="20"/>
          <w:szCs w:val="20"/>
          <w:color w:val="auto"/>
        </w:rPr>
      </w:pPr>
      <w:r>
        <w:rPr>
          <w:rFonts w:ascii="Arial" w:cs="Arial" w:eastAsia="Arial" w:hAnsi="Arial"/>
          <w:sz w:val="14"/>
          <w:szCs w:val="14"/>
          <w:color w:val="auto"/>
        </w:rPr>
        <w:t>In order to incentivize our employees and other service providers following the closing of this offering, our board of directors and stockholders anticipates adopting the 2026 Plan, which will become effective on the date immediately preceding the date on which our common stock is listed (or approved for listing) on Nasdaq. The material terms of the 2026 Plan are summarized below. The purpose of the 2026 Plan is to attract and retain the best available personnel, incentivize service providers, promote the success of our business and strengthen the mutuality of interest between eligible service providers and our stockholders. At the time the 2026 Plan becomes effective, no further grants may be made under the 2021 Plan.</w:t>
      </w:r>
    </w:p>
    <w:p>
      <w:pPr>
        <w:spacing w:after="0" w:line="54" w:lineRule="exact"/>
        <w:rPr>
          <w:sz w:val="20"/>
          <w:szCs w:val="20"/>
          <w:color w:val="auto"/>
        </w:rPr>
      </w:pPr>
    </w:p>
    <w:p>
      <w:pPr>
        <w:ind w:left="640" w:right="659" w:firstLine="438"/>
        <w:spacing w:after="0" w:line="254" w:lineRule="auto"/>
        <w:rPr>
          <w:sz w:val="20"/>
          <w:szCs w:val="20"/>
          <w:color w:val="auto"/>
        </w:rPr>
      </w:pPr>
      <w:r>
        <w:rPr>
          <w:rFonts w:ascii="Arial" w:cs="Arial" w:eastAsia="Arial" w:hAnsi="Arial"/>
          <w:sz w:val="14"/>
          <w:szCs w:val="14"/>
          <w:color w:val="auto"/>
        </w:rPr>
        <w:t>The 2026 Plan provides for the grant of incentive stock options, or ISOs, within the meaning of Section 422 of the Code, to our and our subsidiaries’ employees, and for the grant of nonstatutory stock options, or NSOs, stock appreciation rights, restricted stock, restricted stock units, unrestricted stock, performance-based awards and other stock-based awards or cash incentives, to our and our subsidiaries’ employees, directors and consultants.</w:t>
      </w:r>
    </w:p>
    <w:p>
      <w:pPr>
        <w:spacing w:after="0" w:line="49" w:lineRule="exact"/>
        <w:rPr>
          <w:sz w:val="20"/>
          <w:szCs w:val="20"/>
          <w:color w:val="auto"/>
        </w:rPr>
      </w:pPr>
    </w:p>
    <w:p>
      <w:pPr>
        <w:ind w:left="640" w:right="739" w:firstLine="438"/>
        <w:spacing w:after="0" w:line="245"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Initially,         shares of our common stock are reserved for issuance under the 2026 Plan,</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increase by a number of shares of our common stock equal to the number of shares subject to outstanding stock options or other stock awards granted under the 2021 Plan that, following the effective date of the 2026 Plan, are forfeited, canceled, reacquired by the Company prior to vesting, expired (whether voluntarily or involuntarily), settled in cash or otherwise satisfied without the issuance of shares, withheld upon exercise of an option or settlement of an award to cover the exercise price or tax withholding, surrendered pursuant to an exchange or otherwise terminated (other than by exercise). The number of shares of our common stock that will be reserved for issuance under the 2026 Plan will automatically increase on January 1 of each year, beginning on           and continuing through           , in an amount equal to   % of the total number of shares of our capital stock (including shares underlying unexercised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0" w:name="page201"/>
    <w:bookmarkEnd w:id="20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spacing w:after="0" w:line="254" w:lineRule="auto"/>
        <w:rPr>
          <w:sz w:val="20"/>
          <w:szCs w:val="20"/>
          <w:color w:val="auto"/>
        </w:rPr>
      </w:pPr>
      <w:r>
        <w:rPr>
          <w:rFonts w:ascii="Arial" w:cs="Arial" w:eastAsia="Arial" w:hAnsi="Arial"/>
          <w:sz w:val="14"/>
          <w:szCs w:val="14"/>
          <w:color w:val="auto"/>
        </w:rPr>
        <w:t>pre-funded warrants with an exercise price per share of $0.01 or less) outstanding on December 31 of the preceding year; provided, however, that our board of directors may act prior to January 1 of a given year to provide that the increase for such year will be a lesser number of shares of our common stock. The maximum number of shares of our common stock that may be issued upon the exercise of ISOs under the 2026 Plan is           .</w:t>
      </w:r>
    </w:p>
    <w:p>
      <w:pPr>
        <w:spacing w:after="0" w:line="49" w:lineRule="exact"/>
        <w:rPr>
          <w:sz w:val="20"/>
          <w:szCs w:val="20"/>
          <w:color w:val="auto"/>
        </w:rPr>
      </w:pPr>
    </w:p>
    <w:p>
      <w:pPr>
        <w:ind w:left="640" w:right="699" w:firstLine="438"/>
        <w:spacing w:after="0" w:line="244" w:lineRule="auto"/>
        <w:rPr>
          <w:sz w:val="20"/>
          <w:szCs w:val="20"/>
          <w:color w:val="auto"/>
        </w:rPr>
      </w:pPr>
      <w:r>
        <w:rPr>
          <w:rFonts w:ascii="Arial" w:cs="Arial" w:eastAsia="Arial" w:hAnsi="Arial"/>
          <w:sz w:val="14"/>
          <w:szCs w:val="14"/>
          <w:color w:val="auto"/>
        </w:rPr>
        <w:t>Shares subject to awards that will be granted under the 2026 Plan that are forfeited, canceled or reacquired by us, or which expire or otherwise terminate without being exercised in full, will become or again be available under the 2026 Plan. The settlement of any portion of an award in cash will not reduce the number of shares available for issuance under the 2026 Plan. Shares withheld under an award to satisfy the exercise, strike or purchase price of an award or to satisfy a tax withholding obligation will become or again be available under the 2026 Plan. With respect to a stock appreciation right, only shares of our common stock that are issued upon settlement of the stock appreciation right will count towards reducing the number of shares available for issuance under the 2026 Plan. If any shares of our common stock issued pursuant to an award are forfeited back to or repurchased or reacquired by us because of a failure to meet a contingency or condition required to vest such shares in the participant, a right of first refusal, a forfeiture provision or repurchase by us, then the shares that are forfeited or reacquired will, as applicable, become or again be available for future grant and issuance under the 2026 Plan.</w:t>
      </w:r>
    </w:p>
    <w:p>
      <w:pPr>
        <w:spacing w:after="0" w:line="57" w:lineRule="exact"/>
        <w:rPr>
          <w:sz w:val="20"/>
          <w:szCs w:val="20"/>
          <w:color w:val="auto"/>
        </w:rPr>
      </w:pPr>
    </w:p>
    <w:p>
      <w:pPr>
        <w:ind w:left="640" w:right="659" w:firstLine="438"/>
        <w:spacing w:after="0" w:line="242"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a duly authorized committee of our board of directors, will administer</w:t>
      </w:r>
      <w:r>
        <w:rPr>
          <w:rFonts w:ascii="Arial" w:cs="Arial" w:eastAsia="Arial" w:hAnsi="Arial"/>
          <w:sz w:val="14"/>
          <w:szCs w:val="14"/>
          <w:i w:val="1"/>
          <w:iCs w:val="1"/>
          <w:color w:val="auto"/>
        </w:rPr>
        <w:t xml:space="preserve"> </w:t>
      </w:r>
      <w:r>
        <w:rPr>
          <w:rFonts w:ascii="Arial" w:cs="Arial" w:eastAsia="Arial" w:hAnsi="Arial"/>
          <w:sz w:val="14"/>
          <w:szCs w:val="14"/>
          <w:color w:val="auto"/>
        </w:rPr>
        <w:t>the 2026 Plan. Our board of directors, or a duly authorized committee of our board of directors, may, in accordance with the terms of the 2026 Plan, delegate to one or more of our officers the power to grant awards under the 2026 Plan to employees or officers (other than to themselves or members of their immediate family), provided, that our board of directors, or a duly authorized committee of our board of directors, shall fix certain material terms of the awards to be granted by any such officer and shall fix a maximum number of shares subject to awards that the officers may grant. Under the 2026 Plan, our board of directors, or a duly authorized committee of our board of directors, will have the authority to, among other things, grant awards and determine recipients and terms thereof, including the type and number of awards to be granted; the number of shares or dollar amount to which an award will relate; the purchase, exercise or base price; the time or times when awards may be exercised; vesting criteria and/or performance goals; any forfeiture, cancelation or surrender events; any vesting, acceleration or waiver of forfeiture restrictions; and any restriction or limitation regarding any award or the shares or other consideration relating thereto. The plan administrator also has the authority to determine the fair market value of the awards; prescribe and amend the terms of or form of any award agreement; amend, modify or terminate any outstanding award subject to the terms of the 2026 Plan; and construe and interpret the provisions of the 2026 Plan and any award agreement granted thereunder. Our board of directors may accelerate the time at which an award granted under the 2026 Plan may first be exercised or the time during which an award grant under the 2026 Plan or any part thereof will vest, notwithstanding the provisions in the award agreement stating the time at which it may first be exercised or the time during which it will vest.</w:t>
      </w:r>
    </w:p>
    <w:p>
      <w:pPr>
        <w:spacing w:after="0" w:line="63" w:lineRule="exact"/>
        <w:rPr>
          <w:sz w:val="20"/>
          <w:szCs w:val="20"/>
          <w:color w:val="auto"/>
        </w:rPr>
      </w:pPr>
    </w:p>
    <w:p>
      <w:pPr>
        <w:ind w:left="640" w:right="699" w:firstLine="438"/>
        <w:spacing w:after="0" w:line="244" w:lineRule="auto"/>
        <w:rPr>
          <w:sz w:val="20"/>
          <w:szCs w:val="20"/>
          <w:color w:val="auto"/>
        </w:rPr>
      </w:pPr>
      <w:r>
        <w:rPr>
          <w:rFonts w:ascii="Arial" w:cs="Arial" w:eastAsia="Arial" w:hAnsi="Arial"/>
          <w:sz w:val="14"/>
          <w:szCs w:val="14"/>
          <w:color w:val="auto"/>
        </w:rPr>
        <w:t>Under the 2026 Plan, the plan administrator will not, without a participant’s consent, amend, modify or terminate any outstanding award and award agreement, unless the plan administrator determines that (i) that the action, taking into account any related action, would not materially and adversely affect the participant’s rights under the 2026 Plan, (ii) the change is permitted under another section of the 2026 Plan, including with respect to changes for awards to foreign participants, in the event of certain corporate adjustments and upon certain corporate transactions and (iii) the plan administrator determines that the action is required or advisable in order for us, the 2026 Plan, or the award to satisfy any law or regulation or to meet the requirements of or avoid adverse financial accounting consequences under any accounting standard. We may not, at any time when the exercise price of an option or stock appreciation right is above the fair market value of a share of our common stock, reduce the exercise price of such option or stock appreciation right or exchange such option or stock appreciation right for a new award with a lower (or no) exercise price or for cash without obtaining stockholder approval.</w:t>
      </w:r>
    </w:p>
    <w:p>
      <w:pPr>
        <w:spacing w:after="0" w:line="57" w:lineRule="exact"/>
        <w:rPr>
          <w:sz w:val="20"/>
          <w:szCs w:val="20"/>
          <w:color w:val="auto"/>
        </w:rPr>
      </w:pPr>
    </w:p>
    <w:p>
      <w:pPr>
        <w:ind w:left="640" w:right="719" w:firstLine="438"/>
        <w:spacing w:after="0" w:line="246"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ISOs and NSOs will be granted under stock option agreements adopted by the plan administrator.</w:t>
      </w:r>
      <w:r>
        <w:rPr>
          <w:rFonts w:ascii="Arial" w:cs="Arial" w:eastAsia="Arial" w:hAnsi="Arial"/>
          <w:sz w:val="14"/>
          <w:szCs w:val="14"/>
          <w:i w:val="1"/>
          <w:iCs w:val="1"/>
          <w:color w:val="auto"/>
        </w:rPr>
        <w:t xml:space="preserve"> </w:t>
      </w:r>
      <w:r>
        <w:rPr>
          <w:rFonts w:ascii="Arial" w:cs="Arial" w:eastAsia="Arial" w:hAnsi="Arial"/>
          <w:sz w:val="14"/>
          <w:szCs w:val="14"/>
          <w:color w:val="auto"/>
        </w:rPr>
        <w:t>The plan administrator will determine the exercise price for stock options, within the terms and conditions of the 2026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2026 Plan will vest at the rate specified in the stock option agreement as will be determined by the plan administrator. The terms and conditions of separate options need not be identical.</w:t>
      </w:r>
    </w:p>
    <w:p>
      <w:pPr>
        <w:spacing w:after="0" w:line="219" w:lineRule="exact"/>
        <w:rPr>
          <w:sz w:val="20"/>
          <w:szCs w:val="20"/>
          <w:color w:val="auto"/>
        </w:rPr>
      </w:pPr>
    </w:p>
    <w:p>
      <w:pPr>
        <w:ind w:left="640" w:right="959" w:firstLine="438"/>
        <w:spacing w:after="0" w:line="282" w:lineRule="auto"/>
        <w:rPr>
          <w:sz w:val="20"/>
          <w:szCs w:val="20"/>
          <w:color w:val="auto"/>
        </w:rPr>
      </w:pPr>
      <w:r>
        <w:rPr>
          <w:rFonts w:ascii="Arial" w:cs="Arial" w:eastAsia="Arial" w:hAnsi="Arial"/>
          <w:sz w:val="14"/>
          <w:szCs w:val="14"/>
          <w:color w:val="auto"/>
        </w:rPr>
        <w:t>No option will be exercisable after the expiration of ten years (or five years in the case of ISOs granted to a ten percent stockholder) or a shorter period specified in the applicable award agreement.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1" w:name="page202"/>
    <w:bookmarkEnd w:id="20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firstLine="438"/>
        <w:spacing w:after="0" w:line="248" w:lineRule="auto"/>
        <w:rPr>
          <w:sz w:val="20"/>
          <w:szCs w:val="20"/>
          <w:color w:val="auto"/>
        </w:rPr>
      </w:pPr>
      <w:r>
        <w:rPr>
          <w:rFonts w:ascii="Arial" w:cs="Arial" w:eastAsia="Arial" w:hAnsi="Arial"/>
          <w:sz w:val="14"/>
          <w:szCs w:val="14"/>
          <w:color w:val="auto"/>
        </w:rPr>
        <w:t>Acceptable consideration for the purchase of common stock issued upon the exercise of a stock option will be determined by the plan administrator and may include (i) cash; (ii) check; (iii) to the extent permitted under applicable law, delivery of a promissory note with such recourse, interest, security, redemption and other provisions as the plan administrator determines to be appropriate; (iv) cancellation of indebtedness; (v) subject to certain conditions, the tender of shares of our common stock previously owned by the optionholder; (vi) a broker-assisted cashless exercise; (vii) other legal consideration approved by the plan administrator; or (viii) any combination of the foregoing methods of payment.</w:t>
      </w:r>
    </w:p>
    <w:p>
      <w:pPr>
        <w:spacing w:after="0" w:line="54" w:lineRule="exact"/>
        <w:rPr>
          <w:sz w:val="20"/>
          <w:szCs w:val="20"/>
          <w:color w:val="auto"/>
        </w:rPr>
      </w:pPr>
    </w:p>
    <w:p>
      <w:pPr>
        <w:ind w:left="640" w:right="799" w:firstLine="438"/>
        <w:spacing w:after="0" w:line="248" w:lineRule="auto"/>
        <w:rPr>
          <w:sz w:val="20"/>
          <w:szCs w:val="20"/>
          <w:color w:val="auto"/>
        </w:rPr>
      </w:pPr>
      <w:r>
        <w:rPr>
          <w:rFonts w:ascii="Arial" w:cs="Arial" w:eastAsia="Arial" w:hAnsi="Arial"/>
          <w:sz w:val="14"/>
          <w:szCs w:val="14"/>
          <w:i w:val="1"/>
          <w:iCs w:val="1"/>
          <w:color w:val="auto"/>
        </w:rPr>
        <w:t>Tax Limitations on ISOs</w:t>
      </w:r>
      <w:r>
        <w:rPr>
          <w:rFonts w:ascii="Arial" w:cs="Arial" w:eastAsia="Arial" w:hAnsi="Arial"/>
          <w:sz w:val="14"/>
          <w:szCs w:val="14"/>
          <w:color w:val="auto"/>
        </w:rPr>
        <w:t>. The aggregate fair market value, determined at the time of grant, of our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with respect to ISOs that are exercisable for the first time by any participant during any calendar year under all of our stock plans or plans of our affiliates may not exceed $100,000. Options or portions thereof that exceed such limit will generally be treated as NSOs. No ISO may be granted to any person who, at the time of the grant, is a ten percent stockholder unless (i) the option exercise price is at least 110% of the fair market value of the stock subject to the option on the date of grant; and (ii) the term of the ISO does not exceed five years from the date of grant.</w:t>
      </w:r>
    </w:p>
    <w:p>
      <w:pPr>
        <w:spacing w:after="0" w:line="54" w:lineRule="exact"/>
        <w:rPr>
          <w:sz w:val="20"/>
          <w:szCs w:val="20"/>
          <w:color w:val="auto"/>
        </w:rPr>
      </w:pPr>
    </w:p>
    <w:p>
      <w:pPr>
        <w:ind w:left="640" w:right="679" w:firstLine="438"/>
        <w:spacing w:after="0" w:line="242" w:lineRule="auto"/>
        <w:rPr>
          <w:sz w:val="20"/>
          <w:szCs w:val="20"/>
          <w:color w:val="auto"/>
        </w:rPr>
      </w:pPr>
      <w:r>
        <w:rPr>
          <w:rFonts w:ascii="Arial" w:cs="Arial" w:eastAsia="Arial" w:hAnsi="Arial"/>
          <w:sz w:val="14"/>
          <w:szCs w:val="14"/>
          <w:i w:val="1"/>
          <w:iCs w:val="1"/>
          <w:color w:val="auto"/>
        </w:rPr>
        <w:t>Restricted Stock Unit Awards</w:t>
      </w:r>
      <w:r>
        <w:rPr>
          <w:rFonts w:ascii="Arial" w:cs="Arial" w:eastAsia="Arial" w:hAnsi="Arial"/>
          <w:sz w:val="14"/>
          <w:szCs w:val="14"/>
          <w:color w:val="auto"/>
        </w:rPr>
        <w:t>. Subject to the terms of the 2026 Plan, each restricted stock unit award will have</w:t>
      </w:r>
      <w:r>
        <w:rPr>
          <w:rFonts w:ascii="Arial" w:cs="Arial" w:eastAsia="Arial" w:hAnsi="Arial"/>
          <w:sz w:val="14"/>
          <w:szCs w:val="14"/>
          <w:i w:val="1"/>
          <w:iCs w:val="1"/>
          <w:color w:val="auto"/>
        </w:rPr>
        <w:t xml:space="preserve"> </w:t>
      </w:r>
      <w:r>
        <w:rPr>
          <w:rFonts w:ascii="Arial" w:cs="Arial" w:eastAsia="Arial" w:hAnsi="Arial"/>
          <w:sz w:val="14"/>
          <w:szCs w:val="14"/>
          <w:color w:val="auto"/>
        </w:rPr>
        <w:t>such terms and conditions as determined by the plan administrator. A restricted stock unit is an award based on the value of our common stock that is an unfunded and unsecured promise to deliver shares, cash or other property upon the attainment of specified vesting or performance conditions as determined by the plan administrator and set forth in the applicable award agreement. A participant will not have voting or any other rights as a stockholder of ours with respect to any restricted stock unit award (unless and until shares are actually issued in settlement of a vested restricted stock unit award). A restricted stock unit award will generally be granted in consideration for a participant’s services to us or an affiliate, such that the participant will not be required to make any payment to us (other than such services) with respect to the grant or vesting of the restricted stock unit award, or the issuance of any shares pursuant to the restricted stock unit award. If, at the time of grant, our board of directors determines that a participant must pay consideration upon the issuance of shares pursuant to a restricted stock unit award, such consideration may be paid in any form of legal consideration that may be acceptable to our board of directors and permissible under applicable law. A restricted stock unit award may be settled in any form specified by the plan administrator in the award agreement, including, but not limited to, the delivery of shares, cash or a combination of cash and shares as deemed appropriate by the plan administrator. At the time of grant, the plan administrator may determine to impose such restrictions or conditions that delay such delivery to a date following the vesting of the restricted stock unit award. Additionally, dividends or dividend equivalents may be paid or credited in respect of shares covered by a restricted stock unit award, subject to the same restrictions on transferability and forfeitability as the underlying award with respect to which such dividends or dividend equivalents are granted and subject to such other terms and conditions as determined by the plan administrator and specified in the applicable restricted stock unit award agreement.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221" w:lineRule="exact"/>
        <w:rPr>
          <w:sz w:val="20"/>
          <w:szCs w:val="20"/>
          <w:color w:val="auto"/>
        </w:rPr>
      </w:pPr>
    </w:p>
    <w:p>
      <w:pPr>
        <w:ind w:left="640" w:right="659" w:firstLine="438"/>
        <w:spacing w:after="0" w:line="244" w:lineRule="auto"/>
        <w:rPr>
          <w:sz w:val="20"/>
          <w:szCs w:val="20"/>
          <w:color w:val="auto"/>
        </w:rPr>
      </w:pPr>
      <w:r>
        <w:rPr>
          <w:rFonts w:ascii="Arial" w:cs="Arial" w:eastAsia="Arial" w:hAnsi="Arial"/>
          <w:sz w:val="14"/>
          <w:szCs w:val="14"/>
          <w:i w:val="1"/>
          <w:iCs w:val="1"/>
          <w:color w:val="auto"/>
        </w:rPr>
        <w:t>Restricted Stock Awards</w:t>
      </w:r>
      <w:r>
        <w:rPr>
          <w:rFonts w:ascii="Arial" w:cs="Arial" w:eastAsia="Arial" w:hAnsi="Arial"/>
          <w:sz w:val="14"/>
          <w:szCs w:val="14"/>
          <w:color w:val="auto"/>
        </w:rPr>
        <w:t>. Restricted stock awards will be granted under restricted stock award agreements</w:t>
      </w:r>
      <w:r>
        <w:rPr>
          <w:rFonts w:ascii="Arial" w:cs="Arial" w:eastAsia="Arial" w:hAnsi="Arial"/>
          <w:sz w:val="14"/>
          <w:szCs w:val="14"/>
          <w:i w:val="1"/>
          <w:iCs w:val="1"/>
          <w:color w:val="auto"/>
        </w:rPr>
        <w:t xml:space="preserve"> </w:t>
      </w:r>
      <w:r>
        <w:rPr>
          <w:rFonts w:ascii="Arial" w:cs="Arial" w:eastAsia="Arial" w:hAnsi="Arial"/>
          <w:sz w:val="14"/>
          <w:szCs w:val="14"/>
          <w:color w:val="auto"/>
        </w:rPr>
        <w:t>adopted by the plan administrator. A restricted stock award may be awarded in consideration for cash, check, bank draft or money order, past or future services to us or any of our affiliates or any other form of legal consideration that may be acceptable to our board of directors and permissible under applicable law. The plan administrator will determine the terms and conditions of restricted stock awards, including vesting and forfeiture terms. Dividends or dividend equivalents shall be paid or credited with respect to shares subject to a restricted stock award, subject to the same restrictions on transferability and forfeitability as the underlying award with respect to which such dividends or dividend equivalents are granted and subject to such other terms and conditions, unless determined otherwise by the plan administrator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57" w:lineRule="exact"/>
        <w:rPr>
          <w:sz w:val="20"/>
          <w:szCs w:val="20"/>
          <w:color w:val="auto"/>
        </w:rPr>
      </w:pPr>
    </w:p>
    <w:p>
      <w:pPr>
        <w:ind w:left="640" w:right="659" w:firstLine="438"/>
        <w:spacing w:after="0" w:line="244" w:lineRule="auto"/>
        <w:rPr>
          <w:sz w:val="20"/>
          <w:szCs w:val="20"/>
          <w:color w:val="auto"/>
        </w:rPr>
      </w:pPr>
      <w:r>
        <w:rPr>
          <w:rFonts w:ascii="Arial" w:cs="Arial" w:eastAsia="Arial" w:hAnsi="Arial"/>
          <w:sz w:val="14"/>
          <w:szCs w:val="14"/>
          <w:i w:val="1"/>
          <w:iCs w:val="1"/>
          <w:color w:val="auto"/>
        </w:rPr>
        <w:t>Stock Appreciation Rights</w:t>
      </w:r>
      <w:r>
        <w:rPr>
          <w:rFonts w:ascii="Arial" w:cs="Arial" w:eastAsia="Arial" w:hAnsi="Arial"/>
          <w:sz w:val="14"/>
          <w:szCs w:val="14"/>
          <w:color w:val="auto"/>
        </w:rPr>
        <w:t>. Stock appreciation rights will be granted under stock appreciation right agreements</w:t>
      </w:r>
      <w:r>
        <w:rPr>
          <w:rFonts w:ascii="Arial" w:cs="Arial" w:eastAsia="Arial" w:hAnsi="Arial"/>
          <w:sz w:val="14"/>
          <w:szCs w:val="14"/>
          <w:i w:val="1"/>
          <w:iCs w:val="1"/>
          <w:color w:val="auto"/>
        </w:rPr>
        <w:t xml:space="preserve"> </w:t>
      </w:r>
      <w:r>
        <w:rPr>
          <w:rFonts w:ascii="Arial" w:cs="Arial" w:eastAsia="Arial" w:hAnsi="Arial"/>
          <w:sz w:val="14"/>
          <w:szCs w:val="14"/>
          <w:color w:val="auto"/>
        </w:rPr>
        <w:t>adopted by the plan administrator and will be a right entitling the participant to shares, other property or cash compensation, as determined by the plan administrator and set forth in the applicable award agreement, measured by appreciation in the value of common stock. The terms of separation stock appreciation rights need not be identical. The plan administrator will determine the purchase price or strike price for a stock appreciation right, which generally will not be less than 100% of the fair market value of our common stock on the date of grant. A stock appreciation right granted under the 2026 Plan will vest at the rate specified in the stock appreciation right agreement as will be determined by the plan administrator. Stock appreciation rights may be settled in cash or shares of our common stock (or any combination of our common stock and cash) or in any other form of payment, as determined by our board of directors and specified in the stock appreciation right agreement.</w:t>
      </w:r>
    </w:p>
    <w:p>
      <w:pPr>
        <w:spacing w:after="0" w:line="60" w:lineRule="exact"/>
        <w:rPr>
          <w:sz w:val="20"/>
          <w:szCs w:val="20"/>
          <w:color w:val="auto"/>
        </w:rPr>
      </w:pPr>
    </w:p>
    <w:p>
      <w:pPr>
        <w:ind w:left="640" w:right="919" w:firstLine="438"/>
        <w:spacing w:after="0" w:line="282" w:lineRule="auto"/>
        <w:rPr>
          <w:sz w:val="20"/>
          <w:szCs w:val="20"/>
          <w:color w:val="auto"/>
        </w:rPr>
      </w:pPr>
      <w:r>
        <w:rPr>
          <w:rFonts w:ascii="Arial" w:cs="Arial" w:eastAsia="Arial" w:hAnsi="Arial"/>
          <w:sz w:val="14"/>
          <w:szCs w:val="14"/>
          <w:color w:val="auto"/>
        </w:rPr>
        <w:t>The plan administrator will determine the term of stock appreciation rights granted under the 2026 Plan, up to a maximum of 10 years.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2" w:name="page203"/>
    <w:bookmarkEnd w:id="20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firstLine="438"/>
        <w:spacing w:after="0" w:line="250" w:lineRule="auto"/>
        <w:rPr>
          <w:sz w:val="20"/>
          <w:szCs w:val="20"/>
          <w:color w:val="auto"/>
        </w:rPr>
      </w:pPr>
      <w:r>
        <w:rPr>
          <w:rFonts w:ascii="Arial" w:cs="Arial" w:eastAsia="Arial" w:hAnsi="Arial"/>
          <w:sz w:val="14"/>
          <w:szCs w:val="14"/>
          <w:i w:val="1"/>
          <w:iCs w:val="1"/>
          <w:color w:val="auto"/>
        </w:rPr>
        <w:t>Other Stock and Cash Awards</w:t>
      </w:r>
      <w:r>
        <w:rPr>
          <w:rFonts w:ascii="Arial" w:cs="Arial" w:eastAsia="Arial" w:hAnsi="Arial"/>
          <w:sz w:val="14"/>
          <w:szCs w:val="14"/>
          <w:color w:val="auto"/>
        </w:rPr>
        <w:t>. The plan administrator will be permitted to grant other awards, based in whole or in</w:t>
      </w:r>
      <w:r>
        <w:rPr>
          <w:rFonts w:ascii="Arial" w:cs="Arial" w:eastAsia="Arial" w:hAnsi="Arial"/>
          <w:sz w:val="14"/>
          <w:szCs w:val="14"/>
          <w:i w:val="1"/>
          <w:iCs w:val="1"/>
          <w:color w:val="auto"/>
        </w:rPr>
        <w:t xml:space="preserve"> </w:t>
      </w:r>
      <w:r>
        <w:rPr>
          <w:rFonts w:ascii="Arial" w:cs="Arial" w:eastAsia="Arial" w:hAnsi="Arial"/>
          <w:sz w:val="14"/>
          <w:szCs w:val="14"/>
          <w:color w:val="auto"/>
        </w:rPr>
        <w:t>part by reference to, or otherwise based on, our common stock, either alone or in addition to other awards. The plan administrator will have the sole and complete discretion to determine the persons to whom and the time or times at which other stock awards will be granted, the number of shares under the other stock award (or cash equivalent) and all other terms and conditions of such awards. In addition, the plan administrator will be permitted to grant cash incentive awards.</w:t>
      </w:r>
    </w:p>
    <w:p>
      <w:pPr>
        <w:spacing w:after="0" w:line="53" w:lineRule="exact"/>
        <w:rPr>
          <w:sz w:val="20"/>
          <w:szCs w:val="20"/>
          <w:color w:val="auto"/>
        </w:rPr>
      </w:pPr>
    </w:p>
    <w:p>
      <w:pPr>
        <w:ind w:left="640" w:right="679" w:firstLine="438"/>
        <w:spacing w:after="0" w:line="245" w:lineRule="auto"/>
        <w:rPr>
          <w:sz w:val="20"/>
          <w:szCs w:val="20"/>
          <w:color w:val="auto"/>
        </w:rPr>
      </w:pPr>
      <w:r>
        <w:rPr>
          <w:rFonts w:ascii="Arial" w:cs="Arial" w:eastAsia="Arial" w:hAnsi="Arial"/>
          <w:sz w:val="14"/>
          <w:szCs w:val="14"/>
          <w:i w:val="1"/>
          <w:iCs w:val="1"/>
          <w:color w:val="auto"/>
        </w:rPr>
        <w:t>Changes to Capital Structure</w:t>
      </w:r>
      <w:r>
        <w:rPr>
          <w:rFonts w:ascii="Arial" w:cs="Arial" w:eastAsia="Arial" w:hAnsi="Arial"/>
          <w:sz w:val="14"/>
          <w:szCs w:val="14"/>
          <w:color w:val="auto"/>
        </w:rPr>
        <w:t>. In the event there is a specified type of change in our capital structure, such as a</w:t>
      </w:r>
      <w:r>
        <w:rPr>
          <w:rFonts w:ascii="Arial" w:cs="Arial" w:eastAsia="Arial" w:hAnsi="Arial"/>
          <w:sz w:val="14"/>
          <w:szCs w:val="14"/>
          <w:i w:val="1"/>
          <w:iCs w:val="1"/>
          <w:color w:val="auto"/>
        </w:rPr>
        <w:t xml:space="preserve"> </w:t>
      </w:r>
      <w:r>
        <w:rPr>
          <w:rFonts w:ascii="Arial" w:cs="Arial" w:eastAsia="Arial" w:hAnsi="Arial"/>
          <w:sz w:val="14"/>
          <w:szCs w:val="14"/>
          <w:color w:val="auto"/>
        </w:rPr>
        <w:t>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the plan administrator may equitably adjust (i) the number and class of securities available under the 2026 Plan, including the number of ISOs authorized under the 2026 Plan, (ii) the number and class of securities and exercise price per share of each outstanding option and stock appreciation right, (iii) the number of shares subject to and the repurchase price per share subject to each outstanding restricted stock award (or restricted share arrangement pursuant to each “early exercised” option) and restricted stock unit award, and (iv) the terms of each other outstanding award, in each case granted under the 2026 Plan.</w:t>
      </w:r>
    </w:p>
    <w:p>
      <w:pPr>
        <w:spacing w:after="0" w:line="57"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i w:val="1"/>
          <w:iCs w:val="1"/>
          <w:color w:val="auto"/>
        </w:rPr>
        <w:t>Corporate Transactions</w:t>
      </w:r>
      <w:r>
        <w:rPr>
          <w:rFonts w:ascii="Arial" w:cs="Arial" w:eastAsia="Arial" w:hAnsi="Arial"/>
          <w:sz w:val="14"/>
          <w:szCs w:val="14"/>
          <w:color w:val="auto"/>
        </w:rPr>
        <w:t>. In the event of a corporate transaction (as defined below), unless otherwise provided in a</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participant’s award agreement or other written agreement with us, the plan administrator, in its sole discretion, may provide, with respect to all outstanding awards or on an award-by-award basis, for the awards to become immediately vested and exercisable or non-forfeitable, cause any award to be assumed by the surviving or successor company or canceled in exchange for substitute stock options or stock appreciation rights in a manner consistent with the U.S. Treasury regulations, cause any award to be canceled in exchange for consideration equivalent to that paid to our stockholders. If the surviving or acquiring corporation (or its parent company) does not assume, continue or substitute for such awards, then with respect to any such outstanding awards, the vesting (and exercisability, if applicable) of such awards will be accelerated in full to a date prior to the effective time of the corporate transaction (contingent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w:t>
      </w:r>
    </w:p>
    <w:p>
      <w:pPr>
        <w:spacing w:after="0" w:line="55" w:lineRule="exact"/>
        <w:rPr>
          <w:sz w:val="20"/>
          <w:szCs w:val="20"/>
          <w:color w:val="auto"/>
        </w:rPr>
      </w:pPr>
    </w:p>
    <w:p>
      <w:pPr>
        <w:ind w:left="640" w:right="659" w:firstLine="438"/>
        <w:spacing w:after="0" w:line="247" w:lineRule="auto"/>
        <w:rPr>
          <w:sz w:val="20"/>
          <w:szCs w:val="20"/>
          <w:color w:val="auto"/>
        </w:rPr>
      </w:pPr>
      <w:r>
        <w:rPr>
          <w:rFonts w:ascii="Arial" w:cs="Arial" w:eastAsia="Arial" w:hAnsi="Arial"/>
          <w:sz w:val="14"/>
          <w:szCs w:val="14"/>
          <w:color w:val="auto"/>
        </w:rPr>
        <w:t>In the event an award will terminate if not exercised prior to the effective time of a corporate transaction, the plan administrator may provide, in its sole discretion, that the holder of such award may not exercise such award but instead will receive a payment, in such form as may be determined by our board of directors,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2026 Plan governing a corporate transaction involving us.</w:t>
      </w:r>
    </w:p>
    <w:p>
      <w:pPr>
        <w:spacing w:after="0" w:line="54" w:lineRule="exact"/>
        <w:rPr>
          <w:sz w:val="20"/>
          <w:szCs w:val="20"/>
          <w:color w:val="auto"/>
        </w:rPr>
      </w:pPr>
    </w:p>
    <w:p>
      <w:pPr>
        <w:ind w:left="640" w:right="699" w:firstLine="438"/>
        <w:spacing w:after="0" w:line="243" w:lineRule="auto"/>
        <w:rPr>
          <w:sz w:val="20"/>
          <w:szCs w:val="20"/>
          <w:color w:val="auto"/>
        </w:rPr>
      </w:pPr>
      <w:r>
        <w:rPr>
          <w:rFonts w:ascii="Arial" w:cs="Arial" w:eastAsia="Arial" w:hAnsi="Arial"/>
          <w:sz w:val="14"/>
          <w:szCs w:val="14"/>
          <w:color w:val="auto"/>
        </w:rPr>
        <w:t>Under the 2026 Plan, a “corporate transaction” generally will be the consummation, in a single transaction or in a series of related transactions, of (i) a sale, lease, exclusive license or other disposition of all or substantially all, as determined by our board of directors, of our consolidated assets unless our stockholders immediately before such consolidation, merger or other transaction own, directly or indirectly, a majority of the combined voting power of the outstanding voting securities of the purchaser of the assets; (ii) a sale or other disposition in which any person, other than any person who prior to such transaction or series of related transactions owns more than a majority of our common stock, becomes the beneficial owner of at least 50% of our outstanding securities; (iii) a merger, consolidation or similar transaction unless our stockholders immediately before such merger, consolidation or similar transaction own, directly or indirectly, a majority of the combined voting power of the outstanding voting securities of the corporation or other entity resulting from such merger, consolidation or similar transaction; (iv) individuals who constitute our board of directors on the date the 2026 Plan is approved by our board of directors (referred to as the incumbent board) cease for any reason to constitute at least a majority of our board of directors (for this purpose, any board member whose appointment or election is approved or recommended by a majority of the incumbent board will be considered a member of the incumbent board); or (v) the liquidation, dissolution, or winding up of the Company.</w:t>
      </w:r>
    </w:p>
    <w:p>
      <w:pPr>
        <w:spacing w:after="0" w:line="59" w:lineRule="exact"/>
        <w:rPr>
          <w:sz w:val="20"/>
          <w:szCs w:val="20"/>
          <w:color w:val="auto"/>
        </w:rPr>
      </w:pPr>
    </w:p>
    <w:p>
      <w:pPr>
        <w:ind w:left="640" w:right="699" w:firstLine="438"/>
        <w:spacing w:after="0" w:line="254" w:lineRule="auto"/>
        <w:rPr>
          <w:sz w:val="20"/>
          <w:szCs w:val="20"/>
          <w:color w:val="auto"/>
        </w:rPr>
      </w:pPr>
      <w:r>
        <w:rPr>
          <w:rFonts w:ascii="Arial" w:cs="Arial" w:eastAsia="Arial" w:hAnsi="Arial"/>
          <w:sz w:val="14"/>
          <w:szCs w:val="14"/>
          <w:i w:val="1"/>
          <w:iCs w:val="1"/>
          <w:color w:val="auto"/>
        </w:rPr>
        <w:t>Transferability</w:t>
      </w:r>
      <w:r>
        <w:rPr>
          <w:rFonts w:ascii="Arial" w:cs="Arial" w:eastAsia="Arial" w:hAnsi="Arial"/>
          <w:sz w:val="14"/>
          <w:szCs w:val="14"/>
          <w:color w:val="auto"/>
        </w:rPr>
        <w:t>. Except as expressly provided in the 2026 Plan or the form of award agreement, unless the plan</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provides otherwise, awards generally will not be transferable. The plan administrator may provide that an award be transferable by will or the laws of descent and distribution or as permitted by applicable law. Subject to approval of the plan administrator or a duly authorized officer, an option may be transferred pursuant to a domestic relations order.</w:t>
      </w:r>
    </w:p>
    <w:p>
      <w:pPr>
        <w:spacing w:after="0" w:line="49" w:lineRule="exact"/>
        <w:rPr>
          <w:sz w:val="20"/>
          <w:szCs w:val="20"/>
          <w:color w:val="auto"/>
        </w:rPr>
      </w:pPr>
    </w:p>
    <w:p>
      <w:pPr>
        <w:ind w:left="640" w:right="639" w:firstLine="438"/>
        <w:spacing w:after="0" w:line="250" w:lineRule="auto"/>
        <w:rPr>
          <w:sz w:val="20"/>
          <w:szCs w:val="20"/>
          <w:color w:val="auto"/>
        </w:rPr>
      </w:pPr>
      <w:r>
        <w:rPr>
          <w:rFonts w:ascii="Arial" w:cs="Arial" w:eastAsia="Arial" w:hAnsi="Arial"/>
          <w:sz w:val="14"/>
          <w:szCs w:val="14"/>
          <w:i w:val="1"/>
          <w:iCs w:val="1"/>
          <w:color w:val="auto"/>
        </w:rPr>
        <w:t>Clawback</w:t>
      </w:r>
      <w:r>
        <w:rPr>
          <w:rFonts w:ascii="Arial" w:cs="Arial" w:eastAsia="Arial" w:hAnsi="Arial"/>
          <w:sz w:val="14"/>
          <w:szCs w:val="14"/>
          <w:color w:val="auto"/>
        </w:rPr>
        <w:t>. All awards granted under the 2026 Plan will be subject to recoupment in accordance with any clawback</w:t>
      </w:r>
      <w:r>
        <w:rPr>
          <w:rFonts w:ascii="Arial" w:cs="Arial" w:eastAsia="Arial" w:hAnsi="Arial"/>
          <w:sz w:val="14"/>
          <w:szCs w:val="14"/>
          <w:i w:val="1"/>
          <w:iCs w:val="1"/>
          <w:color w:val="auto"/>
        </w:rPr>
        <w:t xml:space="preserve"> </w:t>
      </w:r>
      <w:r>
        <w:rPr>
          <w:rFonts w:ascii="Arial" w:cs="Arial" w:eastAsia="Arial" w:hAnsi="Arial"/>
          <w:sz w:val="14"/>
          <w:szCs w:val="14"/>
          <w:color w:val="auto"/>
        </w:rPr>
        <w:t>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clawback policy that we otherwise adopt, to the extent applicable and permissible under applicable law. In addition, our board of directors may impose such other clawback, recovery or</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3" w:name="page204"/>
    <w:bookmarkEnd w:id="20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39"/>
        <w:spacing w:after="0" w:line="261" w:lineRule="auto"/>
        <w:rPr>
          <w:sz w:val="20"/>
          <w:szCs w:val="20"/>
          <w:color w:val="auto"/>
        </w:rPr>
      </w:pPr>
      <w:r>
        <w:rPr>
          <w:rFonts w:ascii="Arial" w:cs="Arial" w:eastAsia="Arial" w:hAnsi="Arial"/>
          <w:sz w:val="14"/>
          <w:szCs w:val="14"/>
          <w:color w:val="auto"/>
        </w:rPr>
        <w:t>recoupment provisions in an award agreement as our board of directors determines necessary or appropriate, including but not limited to a reacquisition right in respect of previously acquired shares of our common stock or other cash or property upon the occurrence of cause.</w:t>
      </w:r>
    </w:p>
    <w:p>
      <w:pPr>
        <w:spacing w:after="0" w:line="44"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i w:val="1"/>
          <w:iCs w:val="1"/>
          <w:color w:val="auto"/>
        </w:rPr>
        <w:t>Amendment or Termination</w:t>
      </w:r>
      <w:r>
        <w:rPr>
          <w:rFonts w:ascii="Arial" w:cs="Arial" w:eastAsia="Arial" w:hAnsi="Arial"/>
          <w:sz w:val="14"/>
          <w:szCs w:val="14"/>
          <w:color w:val="auto"/>
        </w:rPr>
        <w:t>. Our board of directors will have the authority to amend, suspend or terminate the 2026</w:t>
      </w:r>
      <w:r>
        <w:rPr>
          <w:rFonts w:ascii="Arial" w:cs="Arial" w:eastAsia="Arial" w:hAnsi="Arial"/>
          <w:sz w:val="14"/>
          <w:szCs w:val="14"/>
          <w:i w:val="1"/>
          <w:iCs w:val="1"/>
          <w:color w:val="auto"/>
        </w:rPr>
        <w:t xml:space="preserve"> </w:t>
      </w:r>
      <w:r>
        <w:rPr>
          <w:rFonts w:ascii="Arial" w:cs="Arial" w:eastAsia="Arial" w:hAnsi="Arial"/>
          <w:sz w:val="14"/>
          <w:szCs w:val="14"/>
          <w:color w:val="auto"/>
        </w:rPr>
        <w:t>Plan at any time, provided that such action does not materially impair the existing rights of any participant without such participant’s written consent. Certain material amendments will also require the approval of our stockholders. The 2026 Plan will continue until the date immediately prior to the ten-year anniversary of its effective date, unless terminated sooner. However, no ISOs may be granted after the ten-year anniversary of the earlier of (i) the effective date of the Board’s adoption of the 2026 Plan or (ii) the date the Company’s stockholders approve the 2026 Plan.</w:t>
      </w:r>
    </w:p>
    <w:p>
      <w:pPr>
        <w:spacing w:after="0" w:line="54" w:lineRule="exact"/>
        <w:rPr>
          <w:sz w:val="20"/>
          <w:szCs w:val="20"/>
          <w:color w:val="auto"/>
        </w:rPr>
      </w:pPr>
    </w:p>
    <w:p>
      <w:pPr>
        <w:ind w:left="640" w:right="859" w:firstLine="438"/>
        <w:spacing w:after="0" w:line="282" w:lineRule="auto"/>
        <w:rPr>
          <w:sz w:val="20"/>
          <w:szCs w:val="20"/>
          <w:color w:val="auto"/>
        </w:rPr>
      </w:pPr>
      <w:r>
        <w:rPr>
          <w:rFonts w:ascii="Arial" w:cs="Arial" w:eastAsia="Arial" w:hAnsi="Arial"/>
          <w:sz w:val="14"/>
          <w:szCs w:val="14"/>
          <w:color w:val="auto"/>
        </w:rPr>
        <w:t>We intend to file a registration statement on Form S-8 to register all of the shares of our common stock reserved for issuance under the 2026 Plan.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2021 Equity Incentive Plan</w:t>
      </w:r>
    </w:p>
    <w:p>
      <w:pPr>
        <w:spacing w:after="0" w:line="84" w:lineRule="exact"/>
        <w:rPr>
          <w:sz w:val="20"/>
          <w:szCs w:val="20"/>
          <w:color w:val="auto"/>
        </w:rPr>
      </w:pPr>
    </w:p>
    <w:p>
      <w:pPr>
        <w:ind w:left="640" w:right="839" w:firstLine="438"/>
        <w:spacing w:after="0" w:line="261" w:lineRule="auto"/>
        <w:rPr>
          <w:sz w:val="20"/>
          <w:szCs w:val="20"/>
          <w:color w:val="auto"/>
        </w:rPr>
      </w:pPr>
      <w:r>
        <w:rPr>
          <w:rFonts w:ascii="Arial" w:cs="Arial" w:eastAsia="Arial" w:hAnsi="Arial"/>
          <w:sz w:val="14"/>
          <w:szCs w:val="14"/>
          <w:color w:val="auto"/>
        </w:rPr>
        <w:t>Our board of directors adopted and our stockholders initially approved the 2021 Plan, in August 2021, and it was most recently amended in September 2025. No further awards will be made under the 2021 Plan after this offering; however, awards outstanding under the 2021 Plan will continue to be governed by their existing terms.</w:t>
      </w:r>
    </w:p>
    <w:p>
      <w:pPr>
        <w:spacing w:after="0" w:line="44" w:lineRule="exact"/>
        <w:rPr>
          <w:sz w:val="20"/>
          <w:szCs w:val="20"/>
          <w:color w:val="auto"/>
        </w:rPr>
      </w:pPr>
    </w:p>
    <w:p>
      <w:pPr>
        <w:ind w:left="640" w:right="699" w:firstLine="438"/>
        <w:spacing w:after="0" w:line="247" w:lineRule="auto"/>
        <w:rPr>
          <w:sz w:val="20"/>
          <w:szCs w:val="20"/>
          <w:color w:val="auto"/>
        </w:rPr>
      </w:pPr>
      <w:r>
        <w:rPr>
          <w:rFonts w:ascii="Arial" w:cs="Arial" w:eastAsia="Arial" w:hAnsi="Arial"/>
          <w:sz w:val="14"/>
          <w:szCs w:val="14"/>
          <w:i w:val="1"/>
          <w:iCs w:val="1"/>
          <w:color w:val="auto"/>
        </w:rPr>
        <w:t>Share Reserve</w:t>
      </w:r>
      <w:r>
        <w:rPr>
          <w:rFonts w:ascii="Arial" w:cs="Arial" w:eastAsia="Arial" w:hAnsi="Arial"/>
          <w:sz w:val="14"/>
          <w:szCs w:val="14"/>
          <w:color w:val="auto"/>
        </w:rPr>
        <w:t>. As of December 31, 2025, we had reserved 9,258,555 shares of our common stock for issuance</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2021 Plan. As of December 31, 2025, options to purchase 45,008,927 shares of our common stock, at exercise prices ranging from $ 0.41 to $3.30 per share, or a weighted-average exercise price of $0.51 per share, were outstanding under the 2021 Plan. Unissued shares subject to awards that expire, are forfeited, or are cancelled, shares reacquired by us and shares withheld in payment of the purchase price or exercise price of an award or in satisfaction of withholding taxes will again become available for issuance under the 2021 Plan or, following consummation of this offering, under the 2026 Plan.</w:t>
      </w:r>
    </w:p>
    <w:p>
      <w:pPr>
        <w:spacing w:after="0" w:line="54" w:lineRule="exact"/>
        <w:rPr>
          <w:sz w:val="20"/>
          <w:szCs w:val="20"/>
          <w:color w:val="auto"/>
        </w:rPr>
      </w:pPr>
    </w:p>
    <w:p>
      <w:pPr>
        <w:jc w:val="both"/>
        <w:ind w:left="640" w:right="739" w:firstLine="438"/>
        <w:spacing w:after="0" w:line="261"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board of directors, or a committee thereof, has administered the 2021 Plan since its adoption;</w:t>
      </w:r>
      <w:r>
        <w:rPr>
          <w:rFonts w:ascii="Arial" w:cs="Arial" w:eastAsia="Arial" w:hAnsi="Arial"/>
          <w:sz w:val="14"/>
          <w:szCs w:val="14"/>
          <w:i w:val="1"/>
          <w:iCs w:val="1"/>
          <w:color w:val="auto"/>
        </w:rPr>
        <w:t xml:space="preserve"> </w:t>
      </w:r>
      <w:r>
        <w:rPr>
          <w:rFonts w:ascii="Arial" w:cs="Arial" w:eastAsia="Arial" w:hAnsi="Arial"/>
          <w:sz w:val="14"/>
          <w:szCs w:val="14"/>
          <w:color w:val="auto"/>
        </w:rPr>
        <w:t>however, following this offering, the Compensation Committee of our board of directors will generally administer the 2021 Plan. The administrator has complete discretion to make all decisions relating to the 2021 Plan and outstanding awards.</w:t>
      </w:r>
    </w:p>
    <w:p>
      <w:pPr>
        <w:spacing w:after="0" w:line="44" w:lineRule="exact"/>
        <w:rPr>
          <w:sz w:val="20"/>
          <w:szCs w:val="20"/>
          <w:color w:val="auto"/>
        </w:rPr>
      </w:pPr>
    </w:p>
    <w:p>
      <w:pPr>
        <w:ind w:left="640" w:right="979" w:firstLine="438"/>
        <w:spacing w:after="0" w:line="282"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Employees, members of our board of directors and consultants are eligible to participate in the 2021</w:t>
      </w:r>
      <w:r>
        <w:rPr>
          <w:rFonts w:ascii="Arial" w:cs="Arial" w:eastAsia="Arial" w:hAnsi="Arial"/>
          <w:sz w:val="14"/>
          <w:szCs w:val="14"/>
          <w:i w:val="1"/>
          <w:iCs w:val="1"/>
          <w:color w:val="auto"/>
        </w:rPr>
        <w:t xml:space="preserve"> </w:t>
      </w:r>
      <w:r>
        <w:rPr>
          <w:rFonts w:ascii="Arial" w:cs="Arial" w:eastAsia="Arial" w:hAnsi="Arial"/>
          <w:sz w:val="14"/>
          <w:szCs w:val="14"/>
          <w:color w:val="auto"/>
        </w:rPr>
        <w:t>Plan. However, only employees are eligible to receive ISOs.</w:t>
      </w:r>
    </w:p>
    <w:p>
      <w:pPr>
        <w:spacing w:after="0" w:line="30" w:lineRule="exact"/>
        <w:rPr>
          <w:sz w:val="20"/>
          <w:szCs w:val="20"/>
          <w:color w:val="auto"/>
        </w:rPr>
      </w:pPr>
    </w:p>
    <w:p>
      <w:pPr>
        <w:ind w:left="640" w:right="839" w:firstLine="438"/>
        <w:spacing w:after="0" w:line="282" w:lineRule="auto"/>
        <w:rPr>
          <w:sz w:val="20"/>
          <w:szCs w:val="20"/>
          <w:color w:val="auto"/>
        </w:rPr>
      </w:pPr>
      <w:r>
        <w:rPr>
          <w:rFonts w:ascii="Arial" w:cs="Arial" w:eastAsia="Arial" w:hAnsi="Arial"/>
          <w:sz w:val="14"/>
          <w:szCs w:val="14"/>
          <w:i w:val="1"/>
          <w:iCs w:val="1"/>
          <w:color w:val="auto"/>
        </w:rPr>
        <w:t>Types of Awards</w:t>
      </w:r>
      <w:r>
        <w:rPr>
          <w:rFonts w:ascii="Arial" w:cs="Arial" w:eastAsia="Arial" w:hAnsi="Arial"/>
          <w:sz w:val="14"/>
          <w:szCs w:val="14"/>
          <w:color w:val="auto"/>
        </w:rPr>
        <w:t>. The 2021 Plan provides for the following types of awards granted with respect to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w:t>
      </w:r>
    </w:p>
    <w:p>
      <w:pPr>
        <w:spacing w:after="0" w:line="30" w:lineRule="exact"/>
        <w:rPr>
          <w:sz w:val="20"/>
          <w:szCs w:val="20"/>
          <w:color w:val="auto"/>
        </w:rPr>
      </w:pPr>
    </w:p>
    <w:p>
      <w:pPr>
        <w:ind w:left="1300" w:hanging="219"/>
        <w:spacing w:after="0"/>
        <w:tabs>
          <w:tab w:leader="none" w:pos="130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ISOs and NSOs to purchase shares of our common stock;</w:t>
      </w:r>
    </w:p>
    <w:p>
      <w:pPr>
        <w:spacing w:after="0" w:line="96" w:lineRule="exact"/>
        <w:rPr>
          <w:rFonts w:ascii="Times New Roman" w:cs="Times New Roman" w:eastAsia="Times New Roman" w:hAnsi="Times New Roman"/>
          <w:sz w:val="14"/>
          <w:szCs w:val="14"/>
          <w:color w:val="auto"/>
        </w:rPr>
      </w:pPr>
    </w:p>
    <w:p>
      <w:pPr>
        <w:ind w:left="1300" w:hanging="219"/>
        <w:spacing w:after="0"/>
        <w:tabs>
          <w:tab w:leader="none" w:pos="130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stock appreciation rights;</w:t>
      </w:r>
    </w:p>
    <w:p>
      <w:pPr>
        <w:spacing w:after="0" w:line="96" w:lineRule="exact"/>
        <w:rPr>
          <w:rFonts w:ascii="Times New Roman" w:cs="Times New Roman" w:eastAsia="Times New Roman" w:hAnsi="Times New Roman"/>
          <w:sz w:val="14"/>
          <w:szCs w:val="14"/>
          <w:color w:val="auto"/>
        </w:rPr>
      </w:pPr>
    </w:p>
    <w:p>
      <w:pPr>
        <w:ind w:left="1300" w:hanging="219"/>
        <w:spacing w:after="0"/>
        <w:tabs>
          <w:tab w:leader="none" w:pos="130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shares of restricted and/or unrestricted common stock;</w:t>
      </w:r>
    </w:p>
    <w:p>
      <w:pPr>
        <w:spacing w:after="0" w:line="96" w:lineRule="exact"/>
        <w:rPr>
          <w:rFonts w:ascii="Times New Roman" w:cs="Times New Roman" w:eastAsia="Times New Roman" w:hAnsi="Times New Roman"/>
          <w:sz w:val="14"/>
          <w:szCs w:val="14"/>
          <w:color w:val="auto"/>
        </w:rPr>
      </w:pPr>
    </w:p>
    <w:p>
      <w:pPr>
        <w:ind w:left="1300" w:hanging="219"/>
        <w:spacing w:after="0"/>
        <w:tabs>
          <w:tab w:leader="none" w:pos="130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restricted stock units; and</w:t>
      </w:r>
    </w:p>
    <w:p>
      <w:pPr>
        <w:spacing w:after="0" w:line="96" w:lineRule="exact"/>
        <w:rPr>
          <w:rFonts w:ascii="Times New Roman" w:cs="Times New Roman" w:eastAsia="Times New Roman" w:hAnsi="Times New Roman"/>
          <w:sz w:val="14"/>
          <w:szCs w:val="14"/>
          <w:color w:val="auto"/>
        </w:rPr>
      </w:pPr>
    </w:p>
    <w:p>
      <w:pPr>
        <w:ind w:left="1300" w:hanging="219"/>
        <w:spacing w:after="0"/>
        <w:tabs>
          <w:tab w:leader="none" w:pos="130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other stock-based awards or cash incentives consistent with the purpose of the 2021 Plan and our interests.</w:t>
      </w:r>
    </w:p>
    <w:p>
      <w:pPr>
        <w:spacing w:after="0" w:line="96" w:lineRule="exact"/>
        <w:rPr>
          <w:sz w:val="20"/>
          <w:szCs w:val="20"/>
          <w:color w:val="auto"/>
        </w:rPr>
      </w:pPr>
    </w:p>
    <w:p>
      <w:pPr>
        <w:ind w:left="640" w:right="759" w:firstLine="438"/>
        <w:spacing w:after="0" w:line="248" w:lineRule="auto"/>
        <w:rPr>
          <w:sz w:val="20"/>
          <w:szCs w:val="20"/>
          <w:color w:val="auto"/>
        </w:rPr>
      </w:pPr>
      <w:r>
        <w:rPr>
          <w:rFonts w:ascii="Arial" w:cs="Arial" w:eastAsia="Arial" w:hAnsi="Arial"/>
          <w:sz w:val="14"/>
          <w:szCs w:val="14"/>
          <w:i w:val="1"/>
          <w:iCs w:val="1"/>
          <w:color w:val="auto"/>
        </w:rPr>
        <w:t>Options</w:t>
      </w:r>
      <w:r>
        <w:rPr>
          <w:rFonts w:ascii="Arial" w:cs="Arial" w:eastAsia="Arial" w:hAnsi="Arial"/>
          <w:sz w:val="14"/>
          <w:szCs w:val="14"/>
          <w:color w:val="auto"/>
        </w:rPr>
        <w:t>. The exercise price for options granted under the 2021 Plan is determined by our board of directors at the</w:t>
      </w:r>
      <w:r>
        <w:rPr>
          <w:rFonts w:ascii="Arial" w:cs="Arial" w:eastAsia="Arial" w:hAnsi="Arial"/>
          <w:sz w:val="14"/>
          <w:szCs w:val="14"/>
          <w:i w:val="1"/>
          <w:iCs w:val="1"/>
          <w:color w:val="auto"/>
        </w:rPr>
        <w:t xml:space="preserve"> </w:t>
      </w:r>
      <w:r>
        <w:rPr>
          <w:rFonts w:ascii="Arial" w:cs="Arial" w:eastAsia="Arial" w:hAnsi="Arial"/>
          <w:sz w:val="14"/>
          <w:szCs w:val="14"/>
          <w:color w:val="auto"/>
        </w:rPr>
        <w:t>time of grant but may not be less than 100% of the fair market value of our common stock on the grant date. If the optionholder owns more than 10% of the combined voting power of all classes of our capital stock, the exercise price of any ISO granted to such person must be at least 110% of the fair market value of our common stock on the grant date. Optionholders may pay the exercise price in cash or cash equivalents or by one, or any combination of, the following forms of payment, as permitted by the administrator in its sole discretion:</w:t>
      </w:r>
    </w:p>
    <w:p>
      <w:pPr>
        <w:spacing w:after="0" w:line="54" w:lineRule="exact"/>
        <w:rPr>
          <w:sz w:val="20"/>
          <w:szCs w:val="20"/>
          <w:color w:val="auto"/>
        </w:rPr>
      </w:pPr>
    </w:p>
    <w:p>
      <w:pPr>
        <w:ind w:left="1260" w:right="719" w:hanging="179"/>
        <w:spacing w:after="0" w:line="281" w:lineRule="auto"/>
        <w:tabs>
          <w:tab w:leader="none" w:pos="130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in cash, by either certified or bank check, by wire transfer of immediately available funds or by other instrument acceptable to our board of directors or applicable committee;</w:t>
      </w:r>
    </w:p>
    <w:p>
      <w:pPr>
        <w:spacing w:after="0" w:line="30" w:lineRule="exact"/>
        <w:rPr>
          <w:rFonts w:ascii="Times New Roman" w:cs="Times New Roman" w:eastAsia="Times New Roman" w:hAnsi="Times New Roman"/>
          <w:sz w:val="14"/>
          <w:szCs w:val="14"/>
          <w:color w:val="auto"/>
        </w:rPr>
      </w:pPr>
    </w:p>
    <w:p>
      <w:pPr>
        <w:ind w:left="1260" w:right="899" w:hanging="179"/>
        <w:spacing w:after="0" w:line="281" w:lineRule="auto"/>
        <w:tabs>
          <w:tab w:leader="none" w:pos="130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in the form of previously acquired shares of our common stock based on the fair market value on the date of exercise;</w:t>
      </w:r>
    </w:p>
    <w:p>
      <w:pPr>
        <w:spacing w:after="0" w:line="30" w:lineRule="exact"/>
        <w:rPr>
          <w:rFonts w:ascii="Times New Roman" w:cs="Times New Roman" w:eastAsia="Times New Roman" w:hAnsi="Times New Roman"/>
          <w:sz w:val="14"/>
          <w:szCs w:val="14"/>
          <w:color w:val="auto"/>
        </w:rPr>
      </w:pPr>
    </w:p>
    <w:p>
      <w:pPr>
        <w:ind w:left="1260" w:right="699" w:hanging="179"/>
        <w:spacing w:after="0" w:line="250" w:lineRule="auto"/>
        <w:tabs>
          <w:tab w:leader="none" w:pos="130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if permitted by our board of directors or applicable committee, by the optionee’s delivery of a promissory note, if our board of directors has expressly authorized the loan of funds to the optionee for the purpose of enabling or assisting the optionholder to effect such exercise; provided, that at least so much of the exercise price as represents the par value of the shares of our commons stock exercised shall be paid in cash if required by state law;</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4" w:name="page205"/>
    <w:bookmarkEnd w:id="20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759" w:hanging="179"/>
        <w:spacing w:after="0" w:line="254" w:lineRule="auto"/>
        <w:tabs>
          <w:tab w:leader="none" w:pos="1300"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4"/>
          <w:szCs w:val="14"/>
          <w:color w:val="auto"/>
        </w:rPr>
        <w:t>if permitted by our board of directors or applicable committee and this offering has closed, through the delivery (or attestation to the ownership) of shares of our common stock that have been purchased by the optionholder on the open market or that are beneficially owned by the optionholder and are not then subject to restrictions under any agreement; and/or</w:t>
      </w:r>
    </w:p>
    <w:p>
      <w:pPr>
        <w:spacing w:after="0" w:line="48" w:lineRule="exact"/>
        <w:rPr>
          <w:rFonts w:ascii="Times New Roman" w:cs="Times New Roman" w:eastAsia="Times New Roman" w:hAnsi="Times New Roman"/>
          <w:sz w:val="14"/>
          <w:szCs w:val="14"/>
          <w:color w:val="auto"/>
        </w:rPr>
      </w:pPr>
    </w:p>
    <w:p>
      <w:pPr>
        <w:ind w:left="1300" w:hanging="219"/>
        <w:spacing w:after="0"/>
        <w:tabs>
          <w:tab w:leader="none" w:pos="1300"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4"/>
          <w:szCs w:val="14"/>
          <w:color w:val="auto"/>
        </w:rPr>
        <w:t>by such other means as the administrator may accept.</w:t>
      </w:r>
    </w:p>
    <w:p>
      <w:pPr>
        <w:spacing w:after="0" w:line="96" w:lineRule="exact"/>
        <w:rPr>
          <w:sz w:val="20"/>
          <w:szCs w:val="20"/>
          <w:color w:val="auto"/>
        </w:rPr>
      </w:pPr>
    </w:p>
    <w:p>
      <w:pPr>
        <w:ind w:left="640" w:right="759" w:firstLine="438"/>
        <w:spacing w:after="0" w:line="250" w:lineRule="auto"/>
        <w:rPr>
          <w:sz w:val="20"/>
          <w:szCs w:val="20"/>
          <w:color w:val="auto"/>
        </w:rPr>
      </w:pPr>
      <w:r>
        <w:rPr>
          <w:rFonts w:ascii="Arial" w:cs="Arial" w:eastAsia="Arial" w:hAnsi="Arial"/>
          <w:sz w:val="14"/>
          <w:szCs w:val="14"/>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optionholder’s service relationship with us terminates. If the optionholder owns more than 10% of the combined voting power of all classes of our capital stock, the expiration date of any ISO granted to such person will be no more than five years from the grant date.</w:t>
      </w:r>
    </w:p>
    <w:p>
      <w:pPr>
        <w:spacing w:after="0" w:line="53" w:lineRule="exact"/>
        <w:rPr>
          <w:sz w:val="20"/>
          <w:szCs w:val="20"/>
          <w:color w:val="auto"/>
        </w:rPr>
      </w:pPr>
    </w:p>
    <w:p>
      <w:pPr>
        <w:ind w:left="640" w:right="739" w:firstLine="438"/>
        <w:spacing w:after="0" w:line="250" w:lineRule="auto"/>
        <w:rPr>
          <w:sz w:val="20"/>
          <w:szCs w:val="20"/>
          <w:color w:val="auto"/>
        </w:rPr>
      </w:pPr>
      <w:r>
        <w:rPr>
          <w:rFonts w:ascii="Arial" w:cs="Arial" w:eastAsia="Arial" w:hAnsi="Arial"/>
          <w:sz w:val="14"/>
          <w:szCs w:val="14"/>
          <w:i w:val="1"/>
          <w:iCs w:val="1"/>
          <w:color w:val="auto"/>
        </w:rPr>
        <w:t>Restricted Shares</w:t>
      </w:r>
      <w:r>
        <w:rPr>
          <w:rFonts w:ascii="Arial" w:cs="Arial" w:eastAsia="Arial" w:hAnsi="Arial"/>
          <w:sz w:val="14"/>
          <w:szCs w:val="14"/>
          <w:color w:val="auto"/>
        </w:rPr>
        <w:t>. Restricted shares may be awarded under the 2021 Plan subject to the terms and conditions as</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by the administrator in its sole discretion. Restricted shares vest as determined by the administrator. If the recipient’s service terminates, the Company may require the recipient forfeit the shares still subject to restrictions or determine to repurchase those shares. Upon a grant of restricted shares, the recipient will have the same rights as a stockholder with respect to those shares, until all or a portion are forfeited.</w:t>
      </w:r>
    </w:p>
    <w:p>
      <w:pPr>
        <w:spacing w:after="0" w:line="53" w:lineRule="exact"/>
        <w:rPr>
          <w:sz w:val="20"/>
          <w:szCs w:val="20"/>
          <w:color w:val="auto"/>
        </w:rPr>
      </w:pPr>
    </w:p>
    <w:p>
      <w:pPr>
        <w:ind w:left="640" w:right="659" w:firstLine="438"/>
        <w:spacing w:after="0" w:line="250" w:lineRule="auto"/>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Restricted stock units may be awarded under the 2021 Plan. No cash consideration shall</w:t>
      </w:r>
      <w:r>
        <w:rPr>
          <w:rFonts w:ascii="Arial" w:cs="Arial" w:eastAsia="Arial" w:hAnsi="Arial"/>
          <w:sz w:val="14"/>
          <w:szCs w:val="14"/>
          <w:i w:val="1"/>
          <w:iCs w:val="1"/>
          <w:color w:val="auto"/>
        </w:rPr>
        <w:t xml:space="preserve"> </w:t>
      </w:r>
      <w:r>
        <w:rPr>
          <w:rFonts w:ascii="Arial" w:cs="Arial" w:eastAsia="Arial" w:hAnsi="Arial"/>
          <w:sz w:val="14"/>
          <w:szCs w:val="14"/>
          <w:color w:val="auto"/>
        </w:rPr>
        <w:t>be required of the recipient in connection with the grant of restricted stock units. Settlement of vested restricted stock units may be made in the form of cash, shares of our common stock or any combination of both, as determined by the administrator. Restricted stock units vest as determined by the administrator. Upon the settlement of restricted stock units in shares, the recipient will have the same rights as a stockholder with respect to those shares.</w:t>
      </w:r>
    </w:p>
    <w:p>
      <w:pPr>
        <w:spacing w:after="0" w:line="53" w:lineRule="exact"/>
        <w:rPr>
          <w:sz w:val="20"/>
          <w:szCs w:val="20"/>
          <w:color w:val="auto"/>
        </w:rPr>
      </w:pPr>
    </w:p>
    <w:p>
      <w:pPr>
        <w:ind w:left="640" w:right="699" w:firstLine="443"/>
        <w:spacing w:after="0" w:line="250" w:lineRule="auto"/>
        <w:rPr>
          <w:sz w:val="20"/>
          <w:szCs w:val="20"/>
          <w:color w:val="auto"/>
        </w:rPr>
      </w:pPr>
      <w:r>
        <w:rPr>
          <w:rFonts w:ascii="Arial" w:cs="Arial" w:eastAsia="Arial" w:hAnsi="Arial"/>
          <w:sz w:val="14"/>
          <w:szCs w:val="14"/>
          <w:i w:val="1"/>
          <w:iCs w:val="1"/>
          <w:color w:val="auto"/>
        </w:rPr>
        <w:t>Corporate Transactions</w:t>
      </w:r>
      <w:r>
        <w:rPr>
          <w:rFonts w:ascii="Arial" w:cs="Arial" w:eastAsia="Arial" w:hAnsi="Arial"/>
          <w:sz w:val="14"/>
          <w:szCs w:val="14"/>
          <w:color w:val="auto"/>
        </w:rPr>
        <w:t>. In the event that we are a party to a merger or consolidation or in the event of a sale of all</w:t>
      </w:r>
      <w:r>
        <w:rPr>
          <w:rFonts w:ascii="Arial" w:cs="Arial" w:eastAsia="Arial" w:hAnsi="Arial"/>
          <w:sz w:val="14"/>
          <w:szCs w:val="14"/>
          <w:i w:val="1"/>
          <w:iCs w:val="1"/>
          <w:color w:val="auto"/>
        </w:rPr>
        <w:t xml:space="preserve"> </w:t>
      </w:r>
      <w:r>
        <w:rPr>
          <w:rFonts w:ascii="Arial" w:cs="Arial" w:eastAsia="Arial" w:hAnsi="Arial"/>
          <w:sz w:val="14"/>
          <w:szCs w:val="14"/>
          <w:color w:val="auto"/>
        </w:rPr>
        <w:t>or substantially all of our stock or assets, or similar corporate transactions, awards granted under the 2021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53" w:lineRule="exact"/>
        <w:rPr>
          <w:sz w:val="20"/>
          <w:szCs w:val="20"/>
          <w:color w:val="auto"/>
        </w:rPr>
      </w:pPr>
    </w:p>
    <w:p>
      <w:pPr>
        <w:ind w:left="1260" w:hanging="179"/>
        <w:spacing w:after="0"/>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any option or stock appreciation right will become vested and immediately exercisable, in whole or in part;</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any restricted shares or restricted stock units will become non-forfeitable, in whole or in part;</w:t>
      </w:r>
    </w:p>
    <w:p>
      <w:pPr>
        <w:spacing w:after="0" w:line="96" w:lineRule="exact"/>
        <w:rPr>
          <w:rFonts w:ascii="Times New Roman" w:cs="Times New Roman" w:eastAsia="Times New Roman" w:hAnsi="Times New Roman"/>
          <w:sz w:val="14"/>
          <w:szCs w:val="14"/>
          <w:color w:val="auto"/>
        </w:rPr>
      </w:pPr>
    </w:p>
    <w:p>
      <w:pPr>
        <w:ind w:left="1260" w:right="659" w:hanging="179"/>
        <w:spacing w:after="0" w:line="281" w:lineRule="auto"/>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any option or stock appreciation right will be assumed by the successor corporation or cancelled in exchange for substitute stock options;</w:t>
      </w:r>
    </w:p>
    <w:p>
      <w:pPr>
        <w:spacing w:after="0" w:line="30" w:lineRule="exact"/>
        <w:rPr>
          <w:rFonts w:ascii="Times New Roman" w:cs="Times New Roman" w:eastAsia="Times New Roman" w:hAnsi="Times New Roman"/>
          <w:sz w:val="14"/>
          <w:szCs w:val="14"/>
          <w:color w:val="auto"/>
        </w:rPr>
      </w:pPr>
    </w:p>
    <w:p>
      <w:pPr>
        <w:jc w:val="both"/>
        <w:ind w:left="1260" w:right="719" w:hanging="179"/>
        <w:spacing w:after="0" w:line="281" w:lineRule="auto"/>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any option will be cancelled in exchange for cash and/or other substitute consideration with a value equal to the excess, if any, of the value of the shares subject to the option over any exercise price applicable to the options;</w:t>
      </w:r>
    </w:p>
    <w:p>
      <w:pPr>
        <w:spacing w:after="0" w:line="30" w:lineRule="exact"/>
        <w:rPr>
          <w:rFonts w:ascii="Times New Roman" w:cs="Times New Roman" w:eastAsia="Times New Roman" w:hAnsi="Times New Roman"/>
          <w:sz w:val="14"/>
          <w:szCs w:val="14"/>
          <w:color w:val="auto"/>
        </w:rPr>
      </w:pPr>
    </w:p>
    <w:p>
      <w:pPr>
        <w:jc w:val="both"/>
        <w:ind w:left="1260" w:right="839" w:hanging="179"/>
        <w:spacing w:after="0" w:line="260" w:lineRule="auto"/>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any restricted shares or restricted stock units will be cancelled in exchange for restricted stock of or restricted stock units in respect of the capital stock of any successor corporation (or the equivalent in a successor entity that is not a corporation);</w:t>
      </w:r>
    </w:p>
    <w:p>
      <w:pPr>
        <w:spacing w:after="0" w:line="45" w:lineRule="exact"/>
        <w:rPr>
          <w:rFonts w:ascii="Times New Roman" w:cs="Times New Roman" w:eastAsia="Times New Roman" w:hAnsi="Times New Roman"/>
          <w:sz w:val="14"/>
          <w:szCs w:val="14"/>
          <w:color w:val="auto"/>
        </w:rPr>
      </w:pPr>
    </w:p>
    <w:p>
      <w:pPr>
        <w:ind w:left="1260" w:right="679" w:hanging="179"/>
        <w:spacing w:after="0" w:line="260" w:lineRule="auto"/>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any restricted shares will be redeemed for cash and/or other substitute consideration with a value equal to the fair market value of an unrestricted share on the date of the corporate transaction or the per share consideration payable to the holders of shares in corporate transaction;</w:t>
      </w:r>
    </w:p>
    <w:p>
      <w:pPr>
        <w:spacing w:after="0" w:line="45" w:lineRule="exact"/>
        <w:rPr>
          <w:rFonts w:ascii="Times New Roman" w:cs="Times New Roman" w:eastAsia="Times New Roman" w:hAnsi="Times New Roman"/>
          <w:sz w:val="14"/>
          <w:szCs w:val="14"/>
          <w:color w:val="auto"/>
        </w:rPr>
      </w:pPr>
    </w:p>
    <w:p>
      <w:pPr>
        <w:ind w:left="1260" w:right="659" w:hanging="179"/>
        <w:spacing w:after="0" w:line="260" w:lineRule="auto"/>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any restricted stock unit will be cancelled in exchange for cash and/or other substitute consideration with a value equal to the fair market value of an unrestricted share on the date of the corporate transaction or the per share consideration payable to the holders of shares in corporate transaction; or</w:t>
      </w:r>
    </w:p>
    <w:p>
      <w:pPr>
        <w:spacing w:after="0" w:line="45"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such other treatment as is described in an award agreement.</w:t>
      </w:r>
    </w:p>
    <w:p>
      <w:pPr>
        <w:spacing w:after="0" w:line="96" w:lineRule="exact"/>
        <w:rPr>
          <w:sz w:val="20"/>
          <w:szCs w:val="20"/>
          <w:color w:val="auto"/>
        </w:rPr>
      </w:pPr>
    </w:p>
    <w:p>
      <w:pPr>
        <w:ind w:left="640" w:right="719" w:firstLine="438"/>
        <w:spacing w:after="0" w:line="254" w:lineRule="auto"/>
        <w:rPr>
          <w:sz w:val="20"/>
          <w:szCs w:val="20"/>
          <w:color w:val="auto"/>
        </w:rPr>
      </w:pPr>
      <w:r>
        <w:rPr>
          <w:rFonts w:ascii="Arial" w:cs="Arial" w:eastAsia="Arial" w:hAnsi="Arial"/>
          <w:sz w:val="14"/>
          <w:szCs w:val="14"/>
          <w:color w:val="auto"/>
        </w:rPr>
        <w:t>The administrator is not obligated to treat all awards in the same manner. The administrator has the discretion, at any time, to provide that an award under the 2021 Plan will vest on an accelerated basis in connection with a corporate transaction or to amend or modify an award so long as such amendment or modification is not inconsistent with the terms of the 2021 Plan or would not result in the impairment of a participant’s rights without the participant’s consent.</w:t>
      </w:r>
    </w:p>
    <w:p>
      <w:pPr>
        <w:spacing w:after="0" w:line="49" w:lineRule="exact"/>
        <w:rPr>
          <w:sz w:val="20"/>
          <w:szCs w:val="20"/>
          <w:color w:val="auto"/>
        </w:rPr>
      </w:pPr>
    </w:p>
    <w:p>
      <w:pPr>
        <w:ind w:left="640" w:right="779" w:firstLine="438"/>
        <w:spacing w:after="0" w:line="250" w:lineRule="auto"/>
        <w:rPr>
          <w:sz w:val="20"/>
          <w:szCs w:val="20"/>
          <w:color w:val="auto"/>
        </w:rPr>
      </w:pPr>
      <w:r>
        <w:rPr>
          <w:rFonts w:ascii="Arial" w:cs="Arial" w:eastAsia="Arial" w:hAnsi="Arial"/>
          <w:sz w:val="14"/>
          <w:szCs w:val="14"/>
          <w:i w:val="1"/>
          <w:iCs w:val="1"/>
          <w:color w:val="auto"/>
        </w:rPr>
        <w:t>Changes in Capitalization</w:t>
      </w:r>
      <w:r>
        <w:rPr>
          <w:rFonts w:ascii="Arial" w:cs="Arial" w:eastAsia="Arial" w:hAnsi="Arial"/>
          <w:sz w:val="14"/>
          <w:szCs w:val="14"/>
          <w:color w:val="auto"/>
        </w:rPr>
        <w:t>. In the event of certain specified changes in the capital structure of our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such as a 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equitable adjustments to the terms of outstanding awards will be made by the administrator.</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5" w:name="page206"/>
    <w:bookmarkEnd w:id="20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firstLine="438"/>
        <w:spacing w:after="0" w:line="254" w:lineRule="auto"/>
        <w:rPr>
          <w:sz w:val="20"/>
          <w:szCs w:val="20"/>
          <w:color w:val="auto"/>
        </w:rPr>
      </w:pPr>
      <w:r>
        <w:rPr>
          <w:rFonts w:ascii="Arial" w:cs="Arial" w:eastAsia="Arial" w:hAnsi="Arial"/>
          <w:sz w:val="14"/>
          <w:szCs w:val="14"/>
          <w:i w:val="1"/>
          <w:iCs w:val="1"/>
          <w:color w:val="auto"/>
        </w:rPr>
        <w:t>Amendments or Termination</w:t>
      </w:r>
      <w:r>
        <w:rPr>
          <w:rFonts w:ascii="Arial" w:cs="Arial" w:eastAsia="Arial" w:hAnsi="Arial"/>
          <w:sz w:val="14"/>
          <w:szCs w:val="14"/>
          <w:color w:val="auto"/>
        </w:rPr>
        <w:t>. Our board of directors may at any time alter, amend, suspend or terminate the 2021</w:t>
      </w:r>
      <w:r>
        <w:rPr>
          <w:rFonts w:ascii="Arial" w:cs="Arial" w:eastAsia="Arial" w:hAnsi="Arial"/>
          <w:sz w:val="14"/>
          <w:szCs w:val="14"/>
          <w:i w:val="1"/>
          <w:iCs w:val="1"/>
          <w:color w:val="auto"/>
        </w:rPr>
        <w:t xml:space="preserve"> </w:t>
      </w:r>
      <w:r>
        <w:rPr>
          <w:rFonts w:ascii="Arial" w:cs="Arial" w:eastAsia="Arial" w:hAnsi="Arial"/>
          <w:sz w:val="14"/>
          <w:szCs w:val="14"/>
          <w:color w:val="auto"/>
        </w:rPr>
        <w:t>Plan, subject to stockholder approval in the case of an amendment if the amendment increases the number of shares available for issuance or otherwise to the extent necessary to comply with applicable law, rule or regulation. The 2021 Plan will terminate automatically ten years after the later of the date when our board of directors adopted the plan.</w:t>
      </w:r>
    </w:p>
    <w:p>
      <w:pPr>
        <w:spacing w:after="0" w:line="49" w:lineRule="exact"/>
        <w:rPr>
          <w:sz w:val="20"/>
          <w:szCs w:val="20"/>
          <w:color w:val="auto"/>
        </w:rPr>
      </w:pPr>
    </w:p>
    <w:p>
      <w:pPr>
        <w:jc w:val="both"/>
        <w:ind w:left="640" w:right="859" w:firstLine="438"/>
        <w:spacing w:after="0" w:line="282" w:lineRule="auto"/>
        <w:rPr>
          <w:sz w:val="20"/>
          <w:szCs w:val="20"/>
          <w:color w:val="auto"/>
        </w:rPr>
      </w:pPr>
      <w:r>
        <w:rPr>
          <w:rFonts w:ascii="Arial" w:cs="Arial" w:eastAsia="Arial" w:hAnsi="Arial"/>
          <w:sz w:val="14"/>
          <w:szCs w:val="14"/>
          <w:color w:val="auto"/>
        </w:rPr>
        <w:t>We intend to file a registration statement on Form S-8 to register all of the shares of our common stock reserved for issuance pursuant to outstanding awards granted under the 2021 Plan.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2026 Employee Stock Purchase Plan</w:t>
      </w:r>
    </w:p>
    <w:p>
      <w:pPr>
        <w:spacing w:after="0" w:line="84" w:lineRule="exact"/>
        <w:rPr>
          <w:sz w:val="20"/>
          <w:szCs w:val="20"/>
          <w:color w:val="auto"/>
        </w:rPr>
      </w:pPr>
    </w:p>
    <w:p>
      <w:pPr>
        <w:jc w:val="both"/>
        <w:ind w:left="640" w:right="879" w:firstLine="438"/>
        <w:spacing w:after="0" w:line="254" w:lineRule="auto"/>
        <w:rPr>
          <w:sz w:val="20"/>
          <w:szCs w:val="20"/>
          <w:color w:val="auto"/>
        </w:rPr>
      </w:pPr>
      <w:r>
        <w:rPr>
          <w:rFonts w:ascii="Arial" w:cs="Arial" w:eastAsia="Arial" w:hAnsi="Arial"/>
          <w:sz w:val="14"/>
          <w:szCs w:val="14"/>
          <w:color w:val="auto"/>
        </w:rPr>
        <w:t>Our board of directors and stockholders anticipates adopting the ESPP, which will become effective on the date immediately preceding the date on which our common stock is listed (or approved for listing) on Nasdaq. The material terms of the ESPP are summarized below. Under the ESPP, we are authorized to offer eligible employees the ability to purchase shares of our common stock at a discount, subject to various limitations.</w:t>
      </w:r>
    </w:p>
    <w:p>
      <w:pPr>
        <w:spacing w:after="0" w:line="49" w:lineRule="exact"/>
        <w:rPr>
          <w:sz w:val="20"/>
          <w:szCs w:val="20"/>
          <w:color w:val="auto"/>
        </w:rPr>
      </w:pPr>
    </w:p>
    <w:p>
      <w:pPr>
        <w:ind w:left="640" w:right="739" w:firstLine="438"/>
        <w:spacing w:after="0" w:line="250" w:lineRule="auto"/>
        <w:rPr>
          <w:sz w:val="20"/>
          <w:szCs w:val="20"/>
          <w:color w:val="auto"/>
        </w:rPr>
      </w:pPr>
      <w:r>
        <w:rPr>
          <w:rFonts w:ascii="Arial" w:cs="Arial" w:eastAsia="Arial" w:hAnsi="Arial"/>
          <w:sz w:val="14"/>
          <w:szCs w:val="14"/>
          <w:color w:val="auto"/>
        </w:rPr>
        <w:t>The ESPP is intended to qualify as an “employee stock purchase plan” under Section 423 of the Code. However, with regard to offers of options for purchase of shares of our common stock under the ESPP to employees outside the United States working for one of our subsidiaries or an affiliates, our board of directors may offer a sub-plan or an option that is not intended to meet the requirements of Section 423 of the Code and that varies from the terms and conditions of the ESPP.</w:t>
      </w:r>
    </w:p>
    <w:p>
      <w:pPr>
        <w:spacing w:after="0" w:line="53" w:lineRule="exact"/>
        <w:rPr>
          <w:sz w:val="20"/>
          <w:szCs w:val="20"/>
          <w:color w:val="auto"/>
        </w:rPr>
      </w:pPr>
    </w:p>
    <w:p>
      <w:pPr>
        <w:ind w:left="640" w:right="719" w:firstLine="438"/>
        <w:spacing w:after="0" w:line="247" w:lineRule="auto"/>
        <w:rPr>
          <w:sz w:val="20"/>
          <w:szCs w:val="20"/>
          <w:color w:val="auto"/>
        </w:rPr>
      </w:pPr>
      <w:r>
        <w:rPr>
          <w:rFonts w:ascii="Arial" w:cs="Arial" w:eastAsia="Arial" w:hAnsi="Arial"/>
          <w:sz w:val="14"/>
          <w:szCs w:val="14"/>
          <w:i w:val="1"/>
          <w:iCs w:val="1"/>
          <w:color w:val="auto"/>
        </w:rPr>
        <w:t xml:space="preserve">Authorized Shares. </w:t>
      </w:r>
      <w:r>
        <w:rPr>
          <w:rFonts w:ascii="Arial" w:cs="Arial" w:eastAsia="Arial" w:hAnsi="Arial"/>
          <w:sz w:val="14"/>
          <w:szCs w:val="14"/>
          <w:color w:val="auto"/>
        </w:rPr>
        <w:t>Initially,         shares of our common stock are reserved for issuance under the ESPP.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of our common stock that will be reserved for issuance under the ESPP will automatically increase on January 1 of each year, beginning on         and continuing through         , in an amount equal to the lesser of (i)   % of the total number of shares of our capital stock outstanding on December 31 of the immediately preceding year and (ii)         shares of our common stock, unless our board of directors acts prior to the first day of any calendar year to provide that there will be no January 1 increase in the share reserve for such calendar year or that the increase for such calendar year will be a lesser number of shares of our common stock.</w:t>
      </w:r>
    </w:p>
    <w:p>
      <w:pPr>
        <w:spacing w:after="0" w:line="54"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i w:val="1"/>
          <w:iCs w:val="1"/>
          <w:color w:val="auto"/>
        </w:rPr>
        <w:t xml:space="preserve">Plan Administration. </w:t>
      </w:r>
      <w:r>
        <w:rPr>
          <w:rFonts w:ascii="Arial" w:cs="Arial" w:eastAsia="Arial" w:hAnsi="Arial"/>
          <w:sz w:val="14"/>
          <w:szCs w:val="14"/>
          <w:color w:val="auto"/>
        </w:rPr>
        <w:t>Our board of directors, or a duly authorized committee of our board of directors, will administer</w:t>
      </w:r>
      <w:r>
        <w:rPr>
          <w:rFonts w:ascii="Arial" w:cs="Arial" w:eastAsia="Arial" w:hAnsi="Arial"/>
          <w:sz w:val="14"/>
          <w:szCs w:val="14"/>
          <w:i w:val="1"/>
          <w:iCs w:val="1"/>
          <w:color w:val="auto"/>
        </w:rPr>
        <w:t xml:space="preserve"> </w:t>
      </w:r>
      <w:r>
        <w:rPr>
          <w:rFonts w:ascii="Arial" w:cs="Arial" w:eastAsia="Arial" w:hAnsi="Arial"/>
          <w:sz w:val="14"/>
          <w:szCs w:val="14"/>
          <w:color w:val="auto"/>
        </w:rPr>
        <w:t>the ESPP. Our board of directors, or a duly authorized committee of our board of directors, may, in accordance with the terms of the ESPP, delegate administrative authority to our officers or other individuals or groups. Under the ESPP, the ESPP administrator will have discretionary authority to administer and interpret the ESPP and determine the terms and conditions of the offerings of common stock to be made under the ESPP. Interpretations and constructions of the ESPP administrator of any provision of the ESPP or of any rights thereunder will be conclusive and binding on all persons.</w:t>
      </w:r>
    </w:p>
    <w:p>
      <w:pPr>
        <w:spacing w:after="0" w:line="54" w:lineRule="exact"/>
        <w:rPr>
          <w:sz w:val="20"/>
          <w:szCs w:val="20"/>
          <w:color w:val="auto"/>
        </w:rPr>
      </w:pPr>
    </w:p>
    <w:p>
      <w:pPr>
        <w:ind w:left="640" w:right="699" w:firstLine="438"/>
        <w:spacing w:after="0" w:line="254"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Employees eligible to participate in the ESPP for a given offering generally include employees who are</w:t>
      </w:r>
      <w:r>
        <w:rPr>
          <w:rFonts w:ascii="Arial" w:cs="Arial" w:eastAsia="Arial" w:hAnsi="Arial"/>
          <w:sz w:val="14"/>
          <w:szCs w:val="14"/>
          <w:i w:val="1"/>
          <w:iCs w:val="1"/>
          <w:color w:val="auto"/>
        </w:rPr>
        <w:t xml:space="preserve"> </w:t>
      </w:r>
      <w:r>
        <w:rPr>
          <w:rFonts w:ascii="Arial" w:cs="Arial" w:eastAsia="Arial" w:hAnsi="Arial"/>
          <w:sz w:val="14"/>
          <w:szCs w:val="14"/>
          <w:color w:val="auto"/>
        </w:rPr>
        <w:t>employed by us or one of our designated subsidiaries, other than (i) any employees who have been employed less than 1 year, unless otherwise determined by the ESPP administrator, and (ii) any employees who do not meet any other eligibility requirements that the ESPP administrator may impose (within the limits permitted by the Code).</w:t>
      </w:r>
    </w:p>
    <w:p>
      <w:pPr>
        <w:spacing w:after="0" w:line="49" w:lineRule="exact"/>
        <w:rPr>
          <w:sz w:val="20"/>
          <w:szCs w:val="20"/>
          <w:color w:val="auto"/>
        </w:rPr>
      </w:pPr>
    </w:p>
    <w:p>
      <w:pPr>
        <w:ind w:left="640" w:right="799" w:firstLine="438"/>
        <w:spacing w:after="0" w:line="248" w:lineRule="auto"/>
        <w:rPr>
          <w:sz w:val="20"/>
          <w:szCs w:val="20"/>
          <w:color w:val="auto"/>
        </w:rPr>
      </w:pPr>
      <w:r>
        <w:rPr>
          <w:rFonts w:ascii="Arial" w:cs="Arial" w:eastAsia="Arial" w:hAnsi="Arial"/>
          <w:sz w:val="14"/>
          <w:szCs w:val="14"/>
          <w:i w:val="1"/>
          <w:iCs w:val="1"/>
          <w:color w:val="auto"/>
        </w:rPr>
        <w:t xml:space="preserve">Participation. </w:t>
      </w:r>
      <w:r>
        <w:rPr>
          <w:rFonts w:ascii="Arial" w:cs="Arial" w:eastAsia="Arial" w:hAnsi="Arial"/>
          <w:sz w:val="14"/>
          <w:szCs w:val="14"/>
          <w:color w:val="auto"/>
        </w:rPr>
        <w:t>Employees will enroll under the ESPP by completing an enrollment form permitting the deduction</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their compensation of a whole percentage of their compensation during an offering, subject to a minimum of     % and a maximum of     %, or, to the extent permitted by the ESPP administrator for an offering, an employee may authorize a payroll deduction expressed as a flat dollar amount, subject to such terms, conditions and limits as may be established by the ESPP administrator for such offering. Accumulated deductions will be credited to a notional account and applied to the purchase of shares on the exercise date of the offering.</w:t>
      </w:r>
    </w:p>
    <w:p>
      <w:pPr>
        <w:spacing w:after="0" w:line="54" w:lineRule="exact"/>
        <w:rPr>
          <w:sz w:val="20"/>
          <w:szCs w:val="20"/>
          <w:color w:val="auto"/>
        </w:rPr>
      </w:pPr>
    </w:p>
    <w:p>
      <w:pPr>
        <w:ind w:left="640" w:right="679" w:firstLine="438"/>
        <w:spacing w:after="0" w:line="245" w:lineRule="auto"/>
        <w:rPr>
          <w:sz w:val="20"/>
          <w:szCs w:val="20"/>
          <w:color w:val="auto"/>
        </w:rPr>
      </w:pPr>
      <w:r>
        <w:rPr>
          <w:rFonts w:ascii="Arial" w:cs="Arial" w:eastAsia="Arial" w:hAnsi="Arial"/>
          <w:sz w:val="14"/>
          <w:szCs w:val="14"/>
          <w:color w:val="auto"/>
        </w:rPr>
        <w:t>However, an employee will not be permitted to participate in an offering if, immediately after the option to purchase stock in the offering were granted, the employee would own (or be deemed to own through attribution)     % or more of the total combined voting power or value of all classes of our stock, or one of our subsidiaries or our parent company. In addition, a participant may not purchase more than a number of shares of our common stock equal to $        divided by the fair market value of a share of such stock as of the first day of the offering (or such other maximum number of shares of our common stock established by the ESPP administrator in advance of the offering). A participant may not be granted an option that permits the participant’s rights to purchase shares of common stock to accrue at a rate exceeding $        in fair market value of such stock (determined at the time the option is granted) under the ESPP or any other of our employee stock purchase plans and our parent and subsidiary companies during any calendar year.</w:t>
      </w:r>
    </w:p>
    <w:p>
      <w:pPr>
        <w:spacing w:after="0" w:line="57" w:lineRule="exact"/>
        <w:rPr>
          <w:sz w:val="20"/>
          <w:szCs w:val="20"/>
          <w:color w:val="auto"/>
        </w:rPr>
      </w:pPr>
    </w:p>
    <w:p>
      <w:pPr>
        <w:ind w:left="640" w:right="879" w:firstLine="438"/>
        <w:spacing w:after="0" w:line="254" w:lineRule="auto"/>
        <w:rPr>
          <w:sz w:val="20"/>
          <w:szCs w:val="20"/>
          <w:color w:val="auto"/>
        </w:rPr>
      </w:pPr>
      <w:r>
        <w:rPr>
          <w:rFonts w:ascii="Arial" w:cs="Arial" w:eastAsia="Arial" w:hAnsi="Arial"/>
          <w:sz w:val="14"/>
          <w:szCs w:val="14"/>
          <w:i w:val="1"/>
          <w:iCs w:val="1"/>
          <w:color w:val="auto"/>
        </w:rPr>
        <w:t xml:space="preserve">Offerings. </w:t>
      </w:r>
      <w:r>
        <w:rPr>
          <w:rFonts w:ascii="Arial" w:cs="Arial" w:eastAsia="Arial" w:hAnsi="Arial"/>
          <w:sz w:val="14"/>
          <w:szCs w:val="14"/>
          <w:color w:val="auto"/>
        </w:rPr>
        <w:t>Under the ESPP, participants are given the option to purchase shares of our common stock during</w:t>
      </w:r>
      <w:r>
        <w:rPr>
          <w:rFonts w:ascii="Arial" w:cs="Arial" w:eastAsia="Arial" w:hAnsi="Arial"/>
          <w:sz w:val="14"/>
          <w:szCs w:val="14"/>
          <w:i w:val="1"/>
          <w:iCs w:val="1"/>
          <w:color w:val="auto"/>
        </w:rPr>
        <w:t xml:space="preserve"> </w:t>
      </w:r>
      <w:r>
        <w:rPr>
          <w:rFonts w:ascii="Arial" w:cs="Arial" w:eastAsia="Arial" w:hAnsi="Arial"/>
          <w:sz w:val="14"/>
          <w:szCs w:val="14"/>
          <w:color w:val="auto"/>
        </w:rPr>
        <w:t>offerings, the duration and timing of which will be determined by the ESPP administrator. However, in no event may an offering be longer than     months in length. The ESPP administrator may provide for concurrent or overlapping offerings under the ESPP. An offering under the ESPP may be terminated under certain circumstances.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6" w:name="page207"/>
    <w:bookmarkEnd w:id="20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19" w:firstLine="438"/>
        <w:spacing w:after="0" w:line="250" w:lineRule="auto"/>
        <w:rPr>
          <w:sz w:val="20"/>
          <w:szCs w:val="20"/>
          <w:color w:val="auto"/>
        </w:rPr>
      </w:pPr>
      <w:r>
        <w:rPr>
          <w:rFonts w:ascii="Arial" w:cs="Arial" w:eastAsia="Arial" w:hAnsi="Arial"/>
          <w:sz w:val="14"/>
          <w:szCs w:val="14"/>
          <w:color w:val="auto"/>
        </w:rPr>
        <w:t>Common stock will be purchased for the accounts of participants at a price per share determined under the terms of the applicable offering, which will generally be at a discount from the trading price of our common stock on the date of purchase. The option price for an offering will generally be the lower of     % of the closing trading price per share of our common stock on the first day of the offering or     % of the closing trading price per share on the purchase date, unless the ESPP administrator specifies a lesser discount in advance of the offering.</w:t>
      </w:r>
    </w:p>
    <w:p>
      <w:pPr>
        <w:spacing w:after="0" w:line="53" w:lineRule="exact"/>
        <w:rPr>
          <w:sz w:val="20"/>
          <w:szCs w:val="20"/>
          <w:color w:val="auto"/>
        </w:rPr>
      </w:pPr>
    </w:p>
    <w:p>
      <w:pPr>
        <w:ind w:left="640" w:right="859" w:firstLine="438"/>
        <w:spacing w:after="0" w:line="254" w:lineRule="auto"/>
        <w:rPr>
          <w:sz w:val="20"/>
          <w:szCs w:val="20"/>
          <w:color w:val="auto"/>
        </w:rPr>
      </w:pPr>
      <w:r>
        <w:rPr>
          <w:rFonts w:ascii="Arial" w:cs="Arial" w:eastAsia="Arial" w:hAnsi="Arial"/>
          <w:sz w:val="14"/>
          <w:szCs w:val="14"/>
          <w:color w:val="auto"/>
        </w:rPr>
        <w:t>Unless a participant has withdrawn from participation in the ESPP before a purchase date, the participant will be deemed to have exercised the participant’s option in full as of such purchase date. Upon exercise, the participant will purchase the number of whole shares that the participant’s accumulated payroll deductions will buy at the option price, subject to the participation limitations listed above.</w:t>
      </w:r>
    </w:p>
    <w:p>
      <w:pPr>
        <w:spacing w:after="0" w:line="49" w:lineRule="exact"/>
        <w:rPr>
          <w:sz w:val="20"/>
          <w:szCs w:val="20"/>
          <w:color w:val="auto"/>
        </w:rPr>
      </w:pPr>
    </w:p>
    <w:p>
      <w:pPr>
        <w:ind w:left="640" w:right="739" w:firstLine="438"/>
        <w:spacing w:after="0" w:line="248" w:lineRule="auto"/>
        <w:rPr>
          <w:sz w:val="20"/>
          <w:szCs w:val="20"/>
          <w:color w:val="auto"/>
        </w:rPr>
      </w:pPr>
      <w:r>
        <w:rPr>
          <w:rFonts w:ascii="Arial" w:cs="Arial" w:eastAsia="Arial" w:hAnsi="Arial"/>
          <w:sz w:val="14"/>
          <w:szCs w:val="14"/>
          <w:color w:val="auto"/>
        </w:rPr>
        <w:t>A participant may cancel his or her payroll deduction authorization and withdraw from the offering at any time prior to the end of the offering. Upon withdrawal, the participant will receive a refund of the participant’s notional account balance in cash without interest. If a participant withdraws from an offering, the participant may not later re-enroll in the same offering, but the participant may (if eligible) enroll in any later offering under the ESPP. If a participant wants to increase or decrease the rate of payroll withholding, the participant may do so effective for the next offering by submitting a new enrollment form before the offering for which such change is to be effective.</w:t>
      </w:r>
    </w:p>
    <w:p>
      <w:pPr>
        <w:spacing w:after="0" w:line="54" w:lineRule="exact"/>
        <w:rPr>
          <w:sz w:val="20"/>
          <w:szCs w:val="20"/>
          <w:color w:val="auto"/>
        </w:rPr>
      </w:pPr>
    </w:p>
    <w:p>
      <w:pPr>
        <w:ind w:left="640" w:right="759" w:firstLine="438"/>
        <w:spacing w:after="0" w:line="254" w:lineRule="auto"/>
        <w:rPr>
          <w:sz w:val="20"/>
          <w:szCs w:val="20"/>
          <w:color w:val="auto"/>
        </w:rPr>
      </w:pPr>
      <w:r>
        <w:rPr>
          <w:rFonts w:ascii="Arial" w:cs="Arial" w:eastAsia="Arial" w:hAnsi="Arial"/>
          <w:sz w:val="14"/>
          <w:szCs w:val="14"/>
          <w:color w:val="auto"/>
        </w:rPr>
        <w:t>A participant may not transfer any rights under the ESPP other than by will or the laws of descent and distribution. During a participant’s lifetime, options in the ESPP shall be exercisable only by such participant. The ESPP is unfunded, and all funds received by us under the ESPP may be combined with other corporate funds and used for any corporate purpose, unless otherwise required by applicable law.</w:t>
      </w:r>
    </w:p>
    <w:p>
      <w:pPr>
        <w:spacing w:after="0" w:line="49" w:lineRule="exact"/>
        <w:rPr>
          <w:sz w:val="20"/>
          <w:szCs w:val="20"/>
          <w:color w:val="auto"/>
        </w:rPr>
      </w:pPr>
    </w:p>
    <w:p>
      <w:pPr>
        <w:ind w:left="640" w:right="779" w:firstLine="438"/>
        <w:spacing w:after="0" w:line="250"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any stock split, reverse stock split, stock dividend, recapitalization, combination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 of shares, reclassification of shares, spin-off, or other similar change in capitalization or event, or any dividend or distribution to holders of our common stock other than an ordinary cash dividend, we will proportionately adjust the number and class of shares approved under the ESPP, the option price for an offering and the maximum number of shares which a participant may elect to purchase in any single offering.</w:t>
      </w:r>
    </w:p>
    <w:p>
      <w:pPr>
        <w:spacing w:after="0" w:line="53" w:lineRule="exact"/>
        <w:rPr>
          <w:sz w:val="20"/>
          <w:szCs w:val="20"/>
          <w:color w:val="auto"/>
        </w:rPr>
      </w:pPr>
    </w:p>
    <w:p>
      <w:pPr>
        <w:ind w:left="640" w:right="699" w:firstLine="438"/>
        <w:spacing w:after="0" w:line="243" w:lineRule="auto"/>
        <w:rPr>
          <w:sz w:val="20"/>
          <w:szCs w:val="20"/>
          <w:color w:val="auto"/>
        </w:rPr>
      </w:pPr>
      <w:r>
        <w:rPr>
          <w:rFonts w:ascii="Arial" w:cs="Arial" w:eastAsia="Arial" w:hAnsi="Arial"/>
          <w:sz w:val="14"/>
          <w:szCs w:val="14"/>
          <w:i w:val="1"/>
          <w:iCs w:val="1"/>
          <w:color w:val="auto"/>
        </w:rPr>
        <w:t>Corporate Transactions</w:t>
      </w:r>
      <w:r>
        <w:rPr>
          <w:rFonts w:ascii="Arial" w:cs="Arial" w:eastAsia="Arial" w:hAnsi="Arial"/>
          <w:sz w:val="14"/>
          <w:szCs w:val="14"/>
          <w:color w:val="auto"/>
        </w:rPr>
        <w:t>. In the event of a corporate transaction (as defined above with respect to the 2026 Plan),</w:t>
      </w:r>
      <w:r>
        <w:rPr>
          <w:rFonts w:ascii="Arial" w:cs="Arial" w:eastAsia="Arial" w:hAnsi="Arial"/>
          <w:sz w:val="14"/>
          <w:szCs w:val="14"/>
          <w:i w:val="1"/>
          <w:iCs w:val="1"/>
          <w:color w:val="auto"/>
        </w:rPr>
        <w:t xml:space="preserve"> </w:t>
      </w:r>
      <w:r>
        <w:rPr>
          <w:rFonts w:ascii="Arial" w:cs="Arial" w:eastAsia="Arial" w:hAnsi="Arial"/>
          <w:sz w:val="14"/>
          <w:szCs w:val="14"/>
          <w:color w:val="auto"/>
        </w:rPr>
        <w:t>the ESPP administrator may take any of the following actions, or do any combination thereof: (i) determine that each outstanding option will be assumed or an equivalent option substituted by the acquiring or successor corporation or other entity (or an affiliate thereof); (ii) upon written notice to participants, provide that participants’ accumulated payroll deductions will be used to purchase shares of our common stock on a date determined by the ESPP administrator within ten days prior to the corporate transaction and that all outstanding options will terminate immediately after such purchase;</w:t>
      </w:r>
    </w:p>
    <w:p>
      <w:pPr>
        <w:spacing w:after="0" w:line="2" w:lineRule="exact"/>
        <w:rPr>
          <w:sz w:val="20"/>
          <w:szCs w:val="20"/>
          <w:color w:val="auto"/>
        </w:rPr>
      </w:pPr>
    </w:p>
    <w:p>
      <w:pPr>
        <w:ind w:left="640" w:right="859" w:hanging="2"/>
        <w:spacing w:after="0" w:line="245" w:lineRule="auto"/>
        <w:tabs>
          <w:tab w:leader="none" w:pos="871" w:val="left"/>
        </w:tabs>
        <w:numPr>
          <w:ilvl w:val="0"/>
          <w:numId w:val="85"/>
        </w:numPr>
        <w:rPr>
          <w:rFonts w:ascii="Arial" w:cs="Arial" w:eastAsia="Arial" w:hAnsi="Arial"/>
          <w:sz w:val="14"/>
          <w:szCs w:val="14"/>
          <w:color w:val="auto"/>
        </w:rPr>
      </w:pPr>
      <w:r>
        <w:rPr>
          <w:rFonts w:ascii="Arial" w:cs="Arial" w:eastAsia="Arial" w:hAnsi="Arial"/>
          <w:sz w:val="14"/>
          <w:szCs w:val="14"/>
          <w:color w:val="auto"/>
        </w:rPr>
        <w:t>upon written notice to participants, provide that all outstanding options will be cancelled and accumulated payroll deductions will be returned to participants; (iv) if the applicable corporate transaction provides for cash payments to the holders of our common stock, provide for cash payments to participants in amounts based on the per-share amount of such cash payments to the stockholders; or (v) if we are liquidated or dissolved, provide that options to purchase stock under the ESPP will convert into the right to receive the liquidation proceeds (net of the option price).</w:t>
      </w:r>
    </w:p>
    <w:p>
      <w:pPr>
        <w:spacing w:after="0" w:line="56" w:lineRule="exact"/>
        <w:rPr>
          <w:sz w:val="20"/>
          <w:szCs w:val="20"/>
          <w:color w:val="auto"/>
        </w:rPr>
      </w:pPr>
    </w:p>
    <w:p>
      <w:pPr>
        <w:ind w:left="640" w:right="679" w:firstLine="438"/>
        <w:spacing w:after="0" w:line="248" w:lineRule="auto"/>
        <w:rPr>
          <w:sz w:val="20"/>
          <w:szCs w:val="20"/>
          <w:color w:val="auto"/>
        </w:rPr>
      </w:pPr>
      <w:r>
        <w:rPr>
          <w:rFonts w:ascii="Arial" w:cs="Arial" w:eastAsia="Arial" w:hAnsi="Arial"/>
          <w:sz w:val="14"/>
          <w:szCs w:val="14"/>
          <w:i w:val="1"/>
          <w:iCs w:val="1"/>
          <w:color w:val="auto"/>
        </w:rPr>
        <w:t>Amendment or Termination</w:t>
      </w:r>
      <w:r>
        <w:rPr>
          <w:rFonts w:ascii="Arial" w:cs="Arial" w:eastAsia="Arial" w:hAnsi="Arial"/>
          <w:sz w:val="14"/>
          <w:szCs w:val="14"/>
          <w:color w:val="auto"/>
        </w:rPr>
        <w:t>. The ESPP administrator may amend, suspend or terminate the ESPP at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However, if the terms of the ESPP are amended to increase the number of shares approved for the ESPP or in a manner that would require stockholder approval under the rules of Nasdaq, other relevant listing authority or to qualify as an “employee stock purchase plan” under Section 423(b) of the Code, the ESPP administrator may not amend the ESPP without obtaining stockholder approval within 12 months before or after the date such amendment is adopted. The ESPP automatically terminates on the ten-year anniversary of the date the ESPP was approved by the Company’s stockholders.</w:t>
      </w:r>
    </w:p>
    <w:p>
      <w:pPr>
        <w:spacing w:after="0" w:line="54" w:lineRule="exact"/>
        <w:rPr>
          <w:sz w:val="20"/>
          <w:szCs w:val="20"/>
          <w:color w:val="auto"/>
        </w:rPr>
      </w:pPr>
    </w:p>
    <w:p>
      <w:pPr>
        <w:ind w:left="640" w:right="859" w:firstLine="438"/>
        <w:spacing w:after="0" w:line="282" w:lineRule="auto"/>
        <w:rPr>
          <w:sz w:val="20"/>
          <w:szCs w:val="20"/>
          <w:color w:val="auto"/>
        </w:rPr>
      </w:pPr>
      <w:r>
        <w:rPr>
          <w:rFonts w:ascii="Arial" w:cs="Arial" w:eastAsia="Arial" w:hAnsi="Arial"/>
          <w:sz w:val="14"/>
          <w:szCs w:val="14"/>
          <w:color w:val="auto"/>
        </w:rPr>
        <w:t>We intend to file a registration statement on Form S-8 to register all of the shares of our common stock reserved for issuance under the ESPP.</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Compensation Clawback Policy</w:t>
      </w:r>
    </w:p>
    <w:p>
      <w:pPr>
        <w:spacing w:after="0" w:line="86" w:lineRule="exact"/>
        <w:rPr>
          <w:sz w:val="20"/>
          <w:szCs w:val="20"/>
          <w:color w:val="auto"/>
        </w:rPr>
      </w:pPr>
    </w:p>
    <w:p>
      <w:pPr>
        <w:ind w:left="640" w:right="759" w:firstLine="438"/>
        <w:spacing w:after="0" w:line="250" w:lineRule="auto"/>
        <w:rPr>
          <w:sz w:val="20"/>
          <w:szCs w:val="20"/>
          <w:color w:val="auto"/>
        </w:rPr>
      </w:pPr>
      <w:r>
        <w:rPr>
          <w:rFonts w:ascii="Arial" w:cs="Arial" w:eastAsia="Arial" w:hAnsi="Arial"/>
          <w:sz w:val="14"/>
          <w:szCs w:val="14"/>
          <w:color w:val="auto"/>
        </w:rPr>
        <w:t>In connection with and effective upon the closing of this offering, we have adopted a clawback policy, or the Clawback Policy, in compliance with the SEC’s and Nasdaq’s final rules. The Clawback Policy will require the repayment of certain erroneously awarded incentive-based compensation paid to any current or former executive officer, including our named executive officers, in connection with a restatement of financial statements if such compensation exceeds the amount that the executive officers would have received based on the restated financial statements.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Limitations on Liability and Indemnification</w:t>
      </w:r>
    </w:p>
    <w:p>
      <w:pPr>
        <w:spacing w:after="0" w:line="86" w:lineRule="exact"/>
        <w:rPr>
          <w:sz w:val="20"/>
          <w:szCs w:val="20"/>
          <w:color w:val="auto"/>
        </w:rPr>
      </w:pPr>
    </w:p>
    <w:p>
      <w:pPr>
        <w:ind w:left="640" w:right="799" w:firstLine="438"/>
        <w:spacing w:after="0" w:line="261" w:lineRule="auto"/>
        <w:rPr>
          <w:sz w:val="20"/>
          <w:szCs w:val="20"/>
          <w:color w:val="auto"/>
        </w:rPr>
      </w:pPr>
      <w:r>
        <w:rPr>
          <w:rFonts w:ascii="Arial" w:cs="Arial" w:eastAsia="Arial" w:hAnsi="Arial"/>
          <w:sz w:val="14"/>
          <w:szCs w:val="14"/>
          <w:color w:val="auto"/>
        </w:rPr>
        <w:t>Our Certificate of Incorporation, which will become effective immediately prior to the closing of this offering, will provide that, to the fullest extent permitted by law, we will indemnify any officer or director of our company against all damages, claims and liabilities arising out of the fact that the person is or was our officer or director, or served any other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7" w:name="page208"/>
    <w:bookmarkEnd w:id="20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999"/>
        <w:spacing w:after="0" w:line="254" w:lineRule="auto"/>
        <w:rPr>
          <w:sz w:val="20"/>
          <w:szCs w:val="20"/>
          <w:color w:val="auto"/>
        </w:rPr>
      </w:pPr>
      <w:r>
        <w:rPr>
          <w:rFonts w:ascii="Arial" w:cs="Arial" w:eastAsia="Arial" w:hAnsi="Arial"/>
          <w:sz w:val="14"/>
          <w:szCs w:val="14"/>
          <w:color w:val="auto"/>
        </w:rPr>
        <w:t>enterprise at our request as an officer or director. Our Certificate of Incorporation will contain provisions that limit the liability of our directors and officers for monetary damages to the fullest extent permitted by law. Amending these provisions will not reduce our indemnification obligations relating to or the exculpation of our officers and directors for actions taken before an amendment.</w:t>
      </w:r>
    </w:p>
    <w:p>
      <w:pPr>
        <w:spacing w:after="0" w:line="49" w:lineRule="exact"/>
        <w:rPr>
          <w:sz w:val="20"/>
          <w:szCs w:val="20"/>
          <w:color w:val="auto"/>
        </w:rPr>
      </w:pPr>
    </w:p>
    <w:p>
      <w:pPr>
        <w:ind w:left="640" w:right="679" w:firstLine="438"/>
        <w:spacing w:after="0" w:line="254" w:lineRule="auto"/>
        <w:rPr>
          <w:sz w:val="20"/>
          <w:szCs w:val="20"/>
          <w:color w:val="auto"/>
        </w:rPr>
      </w:pPr>
      <w:r>
        <w:rPr>
          <w:rFonts w:ascii="Arial" w:cs="Arial" w:eastAsia="Arial" w:hAnsi="Arial"/>
          <w:sz w:val="14"/>
          <w:szCs w:val="14"/>
          <w:color w:val="auto"/>
        </w:rPr>
        <w:t>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w:t>
      </w:r>
    </w:p>
    <w:p>
      <w:pPr>
        <w:spacing w:after="0" w:line="49" w:lineRule="exact"/>
        <w:rPr>
          <w:sz w:val="20"/>
          <w:szCs w:val="20"/>
          <w:color w:val="auto"/>
        </w:rPr>
      </w:pPr>
    </w:p>
    <w:p>
      <w:pPr>
        <w:ind w:left="640" w:right="839" w:firstLine="438"/>
        <w:spacing w:after="0" w:line="261" w:lineRule="auto"/>
        <w:rPr>
          <w:sz w:val="20"/>
          <w:szCs w:val="20"/>
          <w:color w:val="auto"/>
        </w:rPr>
      </w:pPr>
      <w:r>
        <w:rPr>
          <w:rFonts w:ascii="Arial" w:cs="Arial" w:eastAsia="Arial" w:hAnsi="Arial"/>
          <w:sz w:val="14"/>
          <w:szCs w:val="14"/>
          <w:color w:val="auto"/>
        </w:rPr>
        <w:t>We believe that these Certificate of Incorporation provisions and indemnification agreements are necessary to attract and retain qualified persons as directors and officers. We also maintain customary directors’ and officers’ liability insurance.</w:t>
      </w:r>
    </w:p>
    <w:p>
      <w:pPr>
        <w:spacing w:after="0" w:line="44" w:lineRule="exact"/>
        <w:rPr>
          <w:sz w:val="20"/>
          <w:szCs w:val="20"/>
          <w:color w:val="auto"/>
        </w:rPr>
      </w:pPr>
    </w:p>
    <w:p>
      <w:pPr>
        <w:ind w:left="640" w:right="699" w:firstLine="438"/>
        <w:spacing w:after="0" w:line="250" w:lineRule="auto"/>
        <w:rPr>
          <w:sz w:val="20"/>
          <w:szCs w:val="20"/>
          <w:color w:val="auto"/>
        </w:rPr>
      </w:pPr>
      <w:r>
        <w:rPr>
          <w:rFonts w:ascii="Arial" w:cs="Arial" w:eastAsia="Arial" w:hAnsi="Arial"/>
          <w:sz w:val="14"/>
          <w:szCs w:val="14"/>
          <w:color w:val="auto"/>
        </w:rPr>
        <w:t>The limitation of liability and indemnification provisions in our Certificate of Incorporation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53" w:lineRule="exact"/>
        <w:rPr>
          <w:sz w:val="20"/>
          <w:szCs w:val="20"/>
          <w:color w:val="auto"/>
        </w:rPr>
      </w:pPr>
    </w:p>
    <w:p>
      <w:pPr>
        <w:ind w:left="640" w:right="799" w:firstLine="438"/>
        <w:spacing w:after="0" w:line="261" w:lineRule="auto"/>
        <w:rPr>
          <w:sz w:val="20"/>
          <w:szCs w:val="20"/>
          <w:color w:val="auto"/>
        </w:rPr>
      </w:pPr>
      <w:r>
        <w:rPr>
          <w:rFonts w:ascii="Arial" w:cs="Arial" w:eastAsia="Arial" w:hAnsi="Arial"/>
          <w:sz w:val="14"/>
          <w:szCs w:val="14"/>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Rule 10b5-1 Plans</w:t>
      </w:r>
    </w:p>
    <w:p>
      <w:pPr>
        <w:spacing w:after="0" w:line="86" w:lineRule="exact"/>
        <w:rPr>
          <w:sz w:val="20"/>
          <w:szCs w:val="20"/>
          <w:color w:val="auto"/>
        </w:rPr>
      </w:pPr>
    </w:p>
    <w:p>
      <w:pPr>
        <w:ind w:left="640" w:right="719" w:firstLine="438"/>
        <w:spacing w:after="0" w:line="244" w:lineRule="auto"/>
        <w:rPr>
          <w:sz w:val="20"/>
          <w:szCs w:val="20"/>
          <w:color w:val="auto"/>
        </w:rPr>
      </w:pPr>
      <w:r>
        <w:rPr>
          <w:rFonts w:ascii="Arial" w:cs="Arial" w:eastAsia="Arial" w:hAnsi="Arial"/>
          <w:sz w:val="14"/>
          <w:szCs w:val="14"/>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 Prior to 180 days after the date of the closing of this offering, subject to early termination and subject to certain limited exceptions, the sale of any shares under such Rule 10b5-1 plan would be subject to the lock-up agreement that the director or executive officer has entered into with the underwriters in connection with this offering.</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8" w:name="page209"/>
    <w:bookmarkEnd w:id="20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CERTAIN RELATIONSHIPS AND RELATED PERSON TRANSACTIONS</w:t>
      </w:r>
    </w:p>
    <w:p>
      <w:pPr>
        <w:spacing w:after="0" w:line="86"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The following is a summary of transactions since January 1, 2023 and any currently proposed transactions to which we have been a participant in which the amount involved exceeded or will exceed the lesser of $120,000 or 1% of the average of our total assets as of each of December 31, 2025 and 2024,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the sections of this prospectus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and “</w:t>
      </w:r>
      <w:r>
        <w:rPr>
          <w:rFonts w:ascii="Arial" w:cs="Arial" w:eastAsia="Arial" w:hAnsi="Arial"/>
          <w:sz w:val="14"/>
          <w:szCs w:val="14"/>
          <w:i w:val="1"/>
          <w:iCs w:val="1"/>
          <w:color w:val="auto"/>
        </w:rPr>
        <w:t>Management—</w:t>
      </w:r>
      <w:r>
        <w:rPr>
          <w:rFonts w:ascii="Arial" w:cs="Arial" w:eastAsia="Arial" w:hAnsi="Arial"/>
          <w:sz w:val="14"/>
          <w:szCs w:val="14"/>
          <w:color w:val="auto"/>
        </w:rPr>
        <w:t xml:space="preserve"> </w:t>
      </w:r>
      <w:r>
        <w:rPr>
          <w:rFonts w:ascii="Arial" w:cs="Arial" w:eastAsia="Arial" w:hAnsi="Arial"/>
          <w:sz w:val="14"/>
          <w:szCs w:val="14"/>
          <w:i w:val="1"/>
          <w:iCs w:val="1"/>
          <w:color w:val="auto"/>
        </w:rPr>
        <w:t>Non-Employee Director Compensation</w:t>
      </w:r>
      <w:r>
        <w:rPr>
          <w:rFonts w:ascii="Arial" w:cs="Arial" w:eastAsia="Arial" w:hAnsi="Arial"/>
          <w:sz w:val="14"/>
          <w:szCs w:val="14"/>
          <w:color w:val="auto"/>
        </w:rPr>
        <w: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Series C Preferred Stock Financing</w:t>
      </w:r>
    </w:p>
    <w:p>
      <w:pPr>
        <w:spacing w:after="0" w:line="86" w:lineRule="exact"/>
        <w:rPr>
          <w:sz w:val="20"/>
          <w:szCs w:val="20"/>
          <w:color w:val="auto"/>
        </w:rPr>
      </w:pPr>
    </w:p>
    <w:p>
      <w:pPr>
        <w:ind w:left="640" w:right="839" w:firstLine="438"/>
        <w:spacing w:after="0" w:line="247" w:lineRule="auto"/>
        <w:rPr>
          <w:sz w:val="20"/>
          <w:szCs w:val="20"/>
          <w:color w:val="auto"/>
        </w:rPr>
      </w:pPr>
      <w:r>
        <w:rPr>
          <w:rFonts w:ascii="Arial" w:cs="Arial" w:eastAsia="Arial" w:hAnsi="Arial"/>
          <w:sz w:val="14"/>
          <w:szCs w:val="14"/>
          <w:color w:val="auto"/>
        </w:rPr>
        <w:t>On October 25, 2023, we entered into the Series C Preferred Stock Purchase Agreement with a number of investors named therein. We subsequently entered into Amendment No. 1 thereto, dated November 28, 2023, Amendment No. 2 thereto, dated January 18, 2024, Amendment No. 3 thereto, dated April 30, 2024, Amendment No. 4 thereto, dated July 17, 2024, and Amendment No. 5 thereto, dated August 6, 2024. In multiple closings held between October 2023 and August 2024, we issued and sold an aggregate of 23,442,000 shares of our Series C convertible preferred stock at a purchase price of $5.00 per share for an aggregate purchase price of approximately $117.2 million, which we refer to as the Series C Preferred Stock Financing.</w:t>
      </w:r>
    </w:p>
    <w:p>
      <w:pPr>
        <w:spacing w:after="0" w:line="54" w:lineRule="exact"/>
        <w:rPr>
          <w:sz w:val="20"/>
          <w:szCs w:val="20"/>
          <w:color w:val="auto"/>
        </w:rPr>
      </w:pPr>
    </w:p>
    <w:p>
      <w:pPr>
        <w:ind w:left="640" w:right="699" w:firstLine="438"/>
        <w:spacing w:after="0" w:line="254" w:lineRule="auto"/>
        <w:rPr>
          <w:sz w:val="20"/>
          <w:szCs w:val="20"/>
          <w:color w:val="auto"/>
        </w:rPr>
      </w:pPr>
      <w:r>
        <w:rPr>
          <w:rFonts w:ascii="Arial" w:cs="Arial" w:eastAsia="Arial" w:hAnsi="Arial"/>
          <w:sz w:val="14"/>
          <w:szCs w:val="14"/>
          <w:color w:val="auto"/>
        </w:rPr>
        <w:t>On November 22, 2024, we entered into a Series C-1 Preferred Stock Purchase Agreement with an investor named therein, pursuant to which we sold an aggregate of 1,459,598 shares of our Series C-1 convertible preferred stock at a purchase price of $5.1384 per share for an aggregate purchase price of approximately $7.5 million, which we refer to as the Series C-1 Preferred Stock Financing.</w:t>
      </w:r>
    </w:p>
    <w:p>
      <w:pPr>
        <w:spacing w:after="0" w:line="49" w:lineRule="exact"/>
        <w:rPr>
          <w:sz w:val="20"/>
          <w:szCs w:val="20"/>
          <w:color w:val="auto"/>
        </w:rPr>
      </w:pPr>
    </w:p>
    <w:p>
      <w:pPr>
        <w:ind w:left="640" w:right="659" w:firstLine="438"/>
        <w:spacing w:after="0" w:line="248" w:lineRule="auto"/>
        <w:rPr>
          <w:sz w:val="20"/>
          <w:szCs w:val="20"/>
          <w:color w:val="auto"/>
        </w:rPr>
      </w:pPr>
      <w:r>
        <w:rPr>
          <w:rFonts w:ascii="Arial" w:cs="Arial" w:eastAsia="Arial" w:hAnsi="Arial"/>
          <w:sz w:val="14"/>
          <w:szCs w:val="14"/>
          <w:color w:val="auto"/>
        </w:rPr>
        <w:t>The following table summarizes the Series C convertible preferred stock and Series C-1 convertible preferred stock purchased by our directors, executive officers or holders of more than 5% of our capital stock as of the date of the applicable closing, and entities affiliated with certain of our executive officers and directors. The Series C convertible preferred stock and Series C-1 convertible preferred stock will convert into an aggregate of 24,901,598 shares of common stock immediately prior to the completion of this offering, after giving effect to the applicable conversion ratio and the reverse stock splits effected in connection with this offering.</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Series C</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Series C-1</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Preferred</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Preferred</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Stock</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Stock</w:t>
            </w:r>
          </w:p>
        </w:tc>
        <w:tc>
          <w:tcPr>
            <w:tcW w:w="1240" w:type="dxa"/>
            <w:vAlign w:val="bottom"/>
          </w:tcPr>
          <w:p>
            <w:pPr>
              <w:jc w:val="center"/>
              <w:ind w:right="11"/>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9"/>
        </w:trPr>
        <w:tc>
          <w:tcPr>
            <w:tcW w:w="3940" w:type="dxa"/>
            <w:vAlign w:val="bottom"/>
            <w:vMerge w:val="restart"/>
          </w:tcPr>
          <w:p>
            <w:pPr>
              <w:spacing w:after="0"/>
              <w:rPr>
                <w:sz w:val="20"/>
                <w:szCs w:val="20"/>
                <w:color w:val="auto"/>
              </w:rPr>
            </w:pPr>
            <w:r>
              <w:rPr>
                <w:rFonts w:ascii="Arial" w:cs="Arial" w:eastAsia="Arial" w:hAnsi="Arial"/>
                <w:sz w:val="11"/>
                <w:szCs w:val="11"/>
                <w:b w:val="1"/>
                <w:bCs w:val="1"/>
                <w:color w:val="auto"/>
              </w:rPr>
              <w:t>Name</w:t>
            </w:r>
            <w:r>
              <w:rPr>
                <w:rFonts w:ascii="Arial" w:cs="Arial" w:eastAsia="Arial" w:hAnsi="Arial"/>
                <w:sz w:val="15"/>
                <w:szCs w:val="15"/>
                <w:b w:val="1"/>
                <w:bCs w:val="1"/>
                <w:color w:val="auto"/>
                <w:vertAlign w:val="superscript"/>
              </w:rPr>
              <w:t>(1)</w:t>
            </w:r>
          </w:p>
        </w:tc>
        <w:tc>
          <w:tcPr>
            <w:tcW w:w="80" w:type="dxa"/>
            <w:vAlign w:val="bottom"/>
          </w:tcPr>
          <w:p>
            <w:pPr>
              <w:spacing w:after="0"/>
              <w:rPr>
                <w:sz w:val="11"/>
                <w:szCs w:val="11"/>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Purchased</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Purchased</w:t>
            </w:r>
          </w:p>
        </w:tc>
        <w:tc>
          <w:tcPr>
            <w:tcW w:w="1240" w:type="dxa"/>
            <w:vAlign w:val="bottom"/>
          </w:tcPr>
          <w:p>
            <w:pPr>
              <w:jc w:val="center"/>
              <w:ind w:right="11"/>
              <w:spacing w:after="0"/>
              <w:rPr>
                <w:sz w:val="20"/>
                <w:szCs w:val="20"/>
                <w:color w:val="auto"/>
              </w:rPr>
            </w:pPr>
            <w:r>
              <w:rPr>
                <w:rFonts w:ascii="Arial" w:cs="Arial" w:eastAsia="Arial" w:hAnsi="Arial"/>
                <w:sz w:val="11"/>
                <w:szCs w:val="11"/>
                <w:b w:val="1"/>
                <w:bCs w:val="1"/>
                <w:color w:val="auto"/>
              </w:rPr>
              <w:t>Purchase</w:t>
            </w:r>
          </w:p>
        </w:tc>
        <w:tc>
          <w:tcPr>
            <w:tcW w:w="0" w:type="dxa"/>
            <w:vAlign w:val="bottom"/>
          </w:tcPr>
          <w:p>
            <w:pPr>
              <w:spacing w:after="0"/>
              <w:rPr>
                <w:sz w:val="1"/>
                <w:szCs w:val="1"/>
                <w:color w:val="auto"/>
              </w:rPr>
            </w:pPr>
          </w:p>
        </w:tc>
      </w:tr>
      <w:tr>
        <w:trPr>
          <w:trHeight w:val="137"/>
        </w:trPr>
        <w:tc>
          <w:tcPr>
            <w:tcW w:w="3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240" w:type="dxa"/>
            <w:vAlign w:val="bottom"/>
          </w:tcPr>
          <w:p>
            <w:pPr>
              <w:jc w:val="center"/>
              <w:ind w:right="51"/>
              <w:spacing w:after="0"/>
              <w:rPr>
                <w:sz w:val="20"/>
                <w:szCs w:val="20"/>
                <w:color w:val="auto"/>
              </w:rPr>
            </w:pPr>
            <w:r>
              <w:rPr>
                <w:rFonts w:ascii="Arial" w:cs="Arial" w:eastAsia="Arial" w:hAnsi="Arial"/>
                <w:sz w:val="11"/>
                <w:szCs w:val="11"/>
                <w:b w:val="1"/>
                <w:bCs w:val="1"/>
                <w:color w:val="auto"/>
              </w:rPr>
              <w:t>Price ($)</w:t>
            </w:r>
          </w:p>
        </w:tc>
        <w:tc>
          <w:tcPr>
            <w:tcW w:w="0" w:type="dxa"/>
            <w:vAlign w:val="bottom"/>
          </w:tcPr>
          <w:p>
            <w:pPr>
              <w:spacing w:after="0"/>
              <w:rPr>
                <w:sz w:val="1"/>
                <w:szCs w:val="1"/>
                <w:color w:val="auto"/>
              </w:rPr>
            </w:pPr>
          </w:p>
        </w:tc>
      </w:tr>
      <w:tr>
        <w:trPr>
          <w:trHeight w:val="121"/>
        </w:trPr>
        <w:tc>
          <w:tcPr>
            <w:tcW w:w="3940" w:type="dxa"/>
            <w:vAlign w:val="bottom"/>
            <w:tcBorders>
              <w:top w:val="single" w:sz="8" w:color="auto"/>
            </w:tcBorders>
          </w:tcPr>
          <w:p>
            <w:pPr>
              <w:spacing w:after="0" w:line="122" w:lineRule="exact"/>
              <w:rPr>
                <w:sz w:val="20"/>
                <w:szCs w:val="20"/>
                <w:color w:val="auto"/>
              </w:rPr>
            </w:pPr>
            <w:r>
              <w:rPr>
                <w:rFonts w:ascii="Arial" w:cs="Arial" w:eastAsia="Arial" w:hAnsi="Arial"/>
                <w:sz w:val="11"/>
                <w:szCs w:val="11"/>
                <w:color w:val="auto"/>
              </w:rPr>
              <w:t>Entities affiliated with SR One Capital Management</w:t>
            </w:r>
            <w:r>
              <w:rPr>
                <w:rFonts w:ascii="Arial" w:cs="Arial" w:eastAsia="Arial" w:hAnsi="Arial"/>
                <w:sz w:val="14"/>
                <w:szCs w:val="14"/>
                <w:color w:val="auto"/>
                <w:vertAlign w:val="superscript"/>
              </w:rPr>
              <w:t>(2)</w:t>
            </w:r>
          </w:p>
        </w:tc>
        <w:tc>
          <w:tcPr>
            <w:tcW w:w="80" w:type="dxa"/>
            <w:vAlign w:val="bottom"/>
          </w:tcPr>
          <w:p>
            <w:pPr>
              <w:spacing w:after="0"/>
              <w:rPr>
                <w:sz w:val="10"/>
                <w:szCs w:val="10"/>
                <w:color w:val="auto"/>
              </w:rPr>
            </w:pPr>
          </w:p>
        </w:tc>
        <w:tc>
          <w:tcPr>
            <w:tcW w:w="11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rPr>
              <w:t>5,300,142</w:t>
            </w:r>
          </w:p>
        </w:tc>
        <w:tc>
          <w:tcPr>
            <w:tcW w:w="80" w:type="dxa"/>
            <w:vAlign w:val="bottom"/>
          </w:tcPr>
          <w:p>
            <w:pPr>
              <w:spacing w:after="0"/>
              <w:rPr>
                <w:sz w:val="10"/>
                <w:szCs w:val="10"/>
                <w:color w:val="auto"/>
              </w:rPr>
            </w:pPr>
          </w:p>
        </w:tc>
        <w:tc>
          <w:tcPr>
            <w:tcW w:w="11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40" w:type="dxa"/>
            <w:vAlign w:val="bottom"/>
            <w:tcBorders>
              <w:top w:val="single" w:sz="8" w:color="auto"/>
            </w:tcBorders>
          </w:tcPr>
          <w:p>
            <w:pPr>
              <w:jc w:val="right"/>
              <w:ind w:right="11"/>
              <w:spacing w:after="0" w:line="122" w:lineRule="exact"/>
              <w:rPr>
                <w:sz w:val="20"/>
                <w:szCs w:val="20"/>
                <w:color w:val="auto"/>
              </w:rPr>
            </w:pPr>
            <w:r>
              <w:rPr>
                <w:rFonts w:ascii="Arial" w:cs="Arial" w:eastAsia="Arial" w:hAnsi="Arial"/>
                <w:sz w:val="14"/>
                <w:szCs w:val="14"/>
                <w:color w:val="auto"/>
              </w:rPr>
              <w:t>26,500,710</w:t>
            </w:r>
          </w:p>
        </w:tc>
        <w:tc>
          <w:tcPr>
            <w:tcW w:w="0" w:type="dxa"/>
            <w:vAlign w:val="bottom"/>
          </w:tcPr>
          <w:p>
            <w:pPr>
              <w:spacing w:after="0"/>
              <w:rPr>
                <w:sz w:val="1"/>
                <w:szCs w:val="1"/>
                <w:color w:val="auto"/>
              </w:rPr>
            </w:pPr>
          </w:p>
        </w:tc>
      </w:tr>
      <w:tr>
        <w:trPr>
          <w:trHeight w:val="161"/>
        </w:trPr>
        <w:tc>
          <w:tcPr>
            <w:tcW w:w="3940" w:type="dxa"/>
            <w:vAlign w:val="bottom"/>
          </w:tcPr>
          <w:p>
            <w:pPr>
              <w:spacing w:after="0" w:line="161" w:lineRule="exact"/>
              <w:rPr>
                <w:sz w:val="20"/>
                <w:szCs w:val="20"/>
                <w:color w:val="auto"/>
              </w:rPr>
            </w:pPr>
            <w:r>
              <w:rPr>
                <w:rFonts w:ascii="Arial" w:cs="Arial" w:eastAsia="Arial" w:hAnsi="Arial"/>
                <w:sz w:val="14"/>
                <w:szCs w:val="14"/>
                <w:color w:val="auto"/>
              </w:rPr>
              <w:t>Entities affiliated with Ascenta Capital</w:t>
            </w:r>
            <w:r>
              <w:rPr>
                <w:rFonts w:ascii="Arial" w:cs="Arial" w:eastAsia="Arial" w:hAnsi="Arial"/>
                <w:sz w:val="18"/>
                <w:szCs w:val="18"/>
                <w:color w:val="auto"/>
                <w:vertAlign w:val="superscript"/>
              </w:rPr>
              <w:t>(3)</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3,226,000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16,130,000</w:t>
            </w:r>
          </w:p>
        </w:tc>
        <w:tc>
          <w:tcPr>
            <w:tcW w:w="0" w:type="dxa"/>
            <w:vAlign w:val="bottom"/>
          </w:tcPr>
          <w:p>
            <w:pPr>
              <w:spacing w:after="0"/>
              <w:rPr>
                <w:sz w:val="1"/>
                <w:szCs w:val="1"/>
                <w:color w:val="auto"/>
              </w:rPr>
            </w:pPr>
          </w:p>
        </w:tc>
      </w:tr>
      <w:tr>
        <w:trPr>
          <w:trHeight w:val="177"/>
        </w:trPr>
        <w:tc>
          <w:tcPr>
            <w:tcW w:w="3940" w:type="dxa"/>
            <w:vAlign w:val="bottom"/>
          </w:tcPr>
          <w:p>
            <w:pPr>
              <w:spacing w:after="0" w:line="177" w:lineRule="exact"/>
              <w:rPr>
                <w:sz w:val="20"/>
                <w:szCs w:val="20"/>
                <w:color w:val="auto"/>
              </w:rPr>
            </w:pPr>
            <w:r>
              <w:rPr>
                <w:rFonts w:ascii="Arial" w:cs="Arial" w:eastAsia="Arial" w:hAnsi="Arial"/>
                <w:sz w:val="14"/>
                <w:szCs w:val="14"/>
                <w:color w:val="auto"/>
              </w:rPr>
              <w:t>Entities affiliated with FMR LLC</w:t>
            </w:r>
            <w:r>
              <w:rPr>
                <w:rFonts w:ascii="Arial" w:cs="Arial" w:eastAsia="Arial" w:hAnsi="Arial"/>
                <w:sz w:val="19"/>
                <w:szCs w:val="19"/>
                <w:color w:val="auto"/>
                <w:vertAlign w:val="superscript"/>
              </w:rPr>
              <w:t>(4)</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3,086,000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15,430,000</w:t>
            </w:r>
          </w:p>
        </w:tc>
        <w:tc>
          <w:tcPr>
            <w:tcW w:w="0" w:type="dxa"/>
            <w:vAlign w:val="bottom"/>
          </w:tcPr>
          <w:p>
            <w:pPr>
              <w:spacing w:after="0"/>
              <w:rPr>
                <w:sz w:val="1"/>
                <w:szCs w:val="1"/>
                <w:color w:val="auto"/>
              </w:rPr>
            </w:pP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4"/>
                <w:szCs w:val="14"/>
                <w:color w:val="auto"/>
              </w:rPr>
              <w:t>OrbiMed Private Investments VIII, LP</w:t>
            </w:r>
          </w:p>
        </w:tc>
        <w:tc>
          <w:tcPr>
            <w:tcW w:w="13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1,341,687</w:t>
            </w:r>
          </w:p>
        </w:tc>
        <w:tc>
          <w:tcPr>
            <w:tcW w:w="12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line="145" w:lineRule="exact"/>
              <w:rPr>
                <w:sz w:val="20"/>
                <w:szCs w:val="20"/>
                <w:color w:val="auto"/>
              </w:rPr>
            </w:pPr>
            <w:r>
              <w:rPr>
                <w:rFonts w:ascii="Arial" w:cs="Arial" w:eastAsia="Arial" w:hAnsi="Arial"/>
                <w:sz w:val="14"/>
                <w:szCs w:val="14"/>
                <w:color w:val="auto"/>
              </w:rPr>
              <w:t>6,708,435</w:t>
            </w:r>
          </w:p>
        </w:tc>
        <w:tc>
          <w:tcPr>
            <w:tcW w:w="0" w:type="dxa"/>
            <w:vAlign w:val="bottom"/>
          </w:tcPr>
          <w:p>
            <w:pPr>
              <w:spacing w:after="0"/>
              <w:rPr>
                <w:sz w:val="1"/>
                <w:szCs w:val="1"/>
                <w:color w:val="auto"/>
              </w:rPr>
            </w:pPr>
          </w:p>
        </w:tc>
      </w:tr>
      <w:tr>
        <w:trPr>
          <w:trHeight w:val="161"/>
        </w:trPr>
        <w:tc>
          <w:tcPr>
            <w:tcW w:w="3940" w:type="dxa"/>
            <w:vAlign w:val="bottom"/>
          </w:tcPr>
          <w:p>
            <w:pPr>
              <w:spacing w:after="0" w:line="161" w:lineRule="exact"/>
              <w:rPr>
                <w:sz w:val="20"/>
                <w:szCs w:val="20"/>
                <w:color w:val="auto"/>
              </w:rPr>
            </w:pPr>
            <w:r>
              <w:rPr>
                <w:rFonts w:ascii="Arial" w:cs="Arial" w:eastAsia="Arial" w:hAnsi="Arial"/>
                <w:sz w:val="14"/>
                <w:szCs w:val="14"/>
                <w:color w:val="auto"/>
              </w:rPr>
              <w:t>Entities affiliated with Foresite Capital</w:t>
            </w:r>
            <w:r>
              <w:rPr>
                <w:rFonts w:ascii="Arial" w:cs="Arial" w:eastAsia="Arial" w:hAnsi="Arial"/>
                <w:sz w:val="18"/>
                <w:szCs w:val="18"/>
                <w:color w:val="auto"/>
                <w:vertAlign w:val="superscript"/>
              </w:rPr>
              <w:t>(5)</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524,400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2,622,000</w:t>
            </w:r>
          </w:p>
        </w:tc>
        <w:tc>
          <w:tcPr>
            <w:tcW w:w="0" w:type="dxa"/>
            <w:vAlign w:val="bottom"/>
          </w:tcPr>
          <w:p>
            <w:pPr>
              <w:spacing w:after="0"/>
              <w:rPr>
                <w:sz w:val="1"/>
                <w:szCs w:val="1"/>
                <w:color w:val="auto"/>
              </w:rPr>
            </w:pPr>
          </w:p>
        </w:tc>
      </w:tr>
      <w:tr>
        <w:trPr>
          <w:trHeight w:val="161"/>
        </w:trPr>
        <w:tc>
          <w:tcPr>
            <w:tcW w:w="3940" w:type="dxa"/>
            <w:vAlign w:val="bottom"/>
          </w:tcPr>
          <w:p>
            <w:pPr>
              <w:spacing w:after="0" w:line="161" w:lineRule="exact"/>
              <w:rPr>
                <w:sz w:val="20"/>
                <w:szCs w:val="20"/>
                <w:color w:val="auto"/>
              </w:rPr>
            </w:pPr>
            <w:r>
              <w:rPr>
                <w:rFonts w:ascii="Arial" w:cs="Arial" w:eastAsia="Arial" w:hAnsi="Arial"/>
                <w:sz w:val="14"/>
                <w:szCs w:val="14"/>
                <w:color w:val="auto"/>
              </w:rPr>
              <w:t>Entities affiliated with General Catalyst Group</w:t>
            </w:r>
            <w:r>
              <w:rPr>
                <w:rFonts w:ascii="Arial" w:cs="Arial" w:eastAsia="Arial" w:hAnsi="Arial"/>
                <w:sz w:val="18"/>
                <w:szCs w:val="18"/>
                <w:color w:val="auto"/>
                <w:vertAlign w:val="superscript"/>
              </w:rPr>
              <w:t>(6)</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439,614</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2,198,070</w:t>
            </w:r>
          </w:p>
        </w:tc>
        <w:tc>
          <w:tcPr>
            <w:tcW w:w="0" w:type="dxa"/>
            <w:vAlign w:val="bottom"/>
          </w:tcPr>
          <w:p>
            <w:pPr>
              <w:spacing w:after="0"/>
              <w:rPr>
                <w:sz w:val="1"/>
                <w:szCs w:val="1"/>
                <w:color w:val="auto"/>
              </w:rPr>
            </w:pPr>
          </w:p>
        </w:tc>
      </w:tr>
      <w:tr>
        <w:trPr>
          <w:trHeight w:val="177"/>
        </w:trPr>
        <w:tc>
          <w:tcPr>
            <w:tcW w:w="3940" w:type="dxa"/>
            <w:vAlign w:val="bottom"/>
          </w:tcPr>
          <w:p>
            <w:pPr>
              <w:spacing w:after="0" w:line="177" w:lineRule="exact"/>
              <w:rPr>
                <w:sz w:val="20"/>
                <w:szCs w:val="20"/>
                <w:color w:val="auto"/>
              </w:rPr>
            </w:pPr>
            <w:r>
              <w:rPr>
                <w:rFonts w:ascii="Arial" w:cs="Arial" w:eastAsia="Arial" w:hAnsi="Arial"/>
                <w:sz w:val="14"/>
                <w:szCs w:val="14"/>
                <w:color w:val="auto"/>
              </w:rPr>
              <w:t>Entities affiliated with Hillhouse Investment</w:t>
            </w:r>
            <w:r>
              <w:rPr>
                <w:rFonts w:ascii="Arial" w:cs="Arial" w:eastAsia="Arial" w:hAnsi="Arial"/>
                <w:sz w:val="19"/>
                <w:szCs w:val="19"/>
                <w:color w:val="auto"/>
                <w:vertAlign w:val="superscript"/>
              </w:rPr>
              <w:t>(7)</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300,000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4"/>
                <w:szCs w:val="14"/>
                <w:color w:val="auto"/>
              </w:rPr>
              <w:t>HBM Healthcare Investments (Cayman) Ltd.</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257,121</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1,285,605</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4"/>
                <w:szCs w:val="14"/>
                <w:color w:val="auto"/>
              </w:rPr>
              <w:t>Racing Beach Ventures LLC</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100,000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4"/>
                <w:szCs w:val="14"/>
                <w:color w:val="auto"/>
              </w:rPr>
              <w:t>Gary D. Glick, Ph.D.</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100,000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20"/>
                <w:szCs w:val="20"/>
                <w:color w:val="auto"/>
              </w:rPr>
            </w:pPr>
            <w:r>
              <w:rPr>
                <w:rFonts w:ascii="Arial" w:cs="Arial" w:eastAsia="Arial" w:hAnsi="Arial"/>
                <w:sz w:val="14"/>
                <w:szCs w:val="14"/>
                <w:color w:val="auto"/>
              </w:rPr>
              <w:t>Activant Capital V, LP</w:t>
            </w:r>
          </w:p>
        </w:tc>
        <w:tc>
          <w:tcPr>
            <w:tcW w:w="8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1,459,598</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59690</wp:posOffset>
            </wp:positionV>
            <wp:extent cx="45720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57200" cy="6985"/>
                    </a:xfrm>
                    <a:prstGeom prst="rect">
                      <a:avLst/>
                    </a:prstGeom>
                    <a:noFill/>
                  </pic:spPr>
                </pic:pic>
              </a:graphicData>
            </a:graphic>
          </wp:anchor>
        </w:drawing>
      </w:r>
    </w:p>
    <w:p>
      <w:pPr>
        <w:spacing w:after="0" w:line="156" w:lineRule="exact"/>
        <w:rPr>
          <w:sz w:val="20"/>
          <w:szCs w:val="20"/>
          <w:color w:val="auto"/>
        </w:rPr>
      </w:pPr>
    </w:p>
    <w:p>
      <w:pPr>
        <w:ind w:left="1080" w:right="899" w:hanging="442"/>
        <w:spacing w:after="0" w:line="250" w:lineRule="auto"/>
        <w:tabs>
          <w:tab w:leader="none" w:pos="1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Additional details regarding certain of these stockholders and their equity holdings are included in the section of this prospectus titled “</w:t>
      </w:r>
      <w:r>
        <w:rPr>
          <w:rFonts w:ascii="Arial" w:cs="Arial" w:eastAsia="Arial" w:hAnsi="Arial"/>
          <w:sz w:val="14"/>
          <w:szCs w:val="14"/>
          <w:i w:val="1"/>
          <w:iCs w:val="1"/>
          <w:color w:val="auto"/>
        </w:rPr>
        <w:t>Principal Stockholders</w:t>
      </w:r>
      <w:r>
        <w:rPr>
          <w:rFonts w:ascii="Arial" w:cs="Arial" w:eastAsia="Arial" w:hAnsi="Arial"/>
          <w:sz w:val="14"/>
          <w:szCs w:val="14"/>
          <w:color w:val="auto"/>
        </w:rPr>
        <w:t>.”</w:t>
      </w:r>
    </w:p>
    <w:p>
      <w:pPr>
        <w:ind w:left="1080" w:right="799" w:hanging="442"/>
        <w:spacing w:after="0"/>
        <w:tabs>
          <w:tab w:leader="none" w:pos="1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Consists of (i) 600,142 shares of Series C convertible preferred stock held by SR One Capital Fund I Aggregator, L.P., (ii) 200,000 shares of Series C convertible preferred stock held by SR One Co-Invest IV-A, LLC and (iii) 4,500,000 shares of Series C convertible preferred stock held by AMZL, LP.</w:t>
      </w:r>
    </w:p>
    <w:p>
      <w:pPr>
        <w:ind w:left="1080" w:right="839" w:hanging="442"/>
        <w:spacing w:after="0"/>
        <w:tabs>
          <w:tab w:leader="none" w:pos="1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Consists of (i) 3,000,000 shares of Series C convertible preferred stock held by Ascenta Capital Fund I, L.P. and (ii) 226,000 shares of Series C convertible preferred stock held by Ascenta Capital Project Argos SPV, L.P. A representative of Ascenta Capital previously served on our board of directors.</w:t>
      </w:r>
    </w:p>
    <w:p>
      <w:pPr>
        <w:ind w:left="1080" w:right="779" w:hanging="442"/>
        <w:spacing w:after="0" w:line="245" w:lineRule="auto"/>
        <w:tabs>
          <w:tab w:leader="none" w:pos="1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Consists of (i) 215,628 shares of Series C convertible preferred stock held by Fidelity Mt. Vernon Street Trust: Fidelity Series Growth Company Fund, (ii) 990,319 shares of Series C convertible preferred stock held by Fidelity Mt. Vernon Street Trust: Fidelity Growth Company Fund, (iii) 1,437,611 shares of Series C convertible preferred stock held by Fidelity Growth Company Commingled Pool and (iv) 442,442 shares of Series C convertible preferred stock held by Fidelity Mt. Vernon Street Trust: Fidelity Growth Company K6 Fund.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9" w:name="page210"/>
    <w:bookmarkEnd w:id="20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80" w:right="699" w:hanging="442"/>
        <w:spacing w:after="0" w:line="250" w:lineRule="auto"/>
        <w:tabs>
          <w:tab w:leader="none" w:pos="1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(i) 397,540 shares of Series C convertible preferred stock held by Foresite Capital Fund V, L.P. and (ii) 126,860 shares of Series C convertible preferred stock held by Foresite Capital Opportunity Fund V, L.P.</w:t>
      </w:r>
    </w:p>
    <w:p>
      <w:pPr>
        <w:ind w:left="1080" w:right="719" w:hanging="442"/>
        <w:spacing w:after="0"/>
        <w:tabs>
          <w:tab w:leader="none" w:pos="1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(i) 43,961 shares of Series C convertible preferred stock held by General Catalyst Group XI— Endurance, L.P. and (ii) 395,653 shares of Series C convertible preferred stock held by General Catalyst Group XI —Health Assurance, L.P.</w:t>
      </w:r>
    </w:p>
    <w:p>
      <w:pPr>
        <w:ind w:left="1080" w:right="999" w:hanging="442"/>
        <w:spacing w:after="0" w:line="261" w:lineRule="auto"/>
        <w:tabs>
          <w:tab w:leader="none" w:pos="1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(i) 120,000 shares of Series C convertible preferred stock held by WXR II Holdings Limited and (ii) 180,000 shares of Series C convertible preferred stock held by GNTR Holdings Limited.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Series D Preferred Stock Financing</w:t>
      </w:r>
    </w:p>
    <w:p>
      <w:pPr>
        <w:spacing w:after="0" w:line="86"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On June 16, 2025, we entered into the Series D Preferred Stock Purchase Agreement with a number of investors named therein. We subsequently entered into Amendment No. 1 thereto, dated June 23, 2025, and Amendment No. 2 thereto, dated August 6, 2025. In multiple closings held between June 16, 2025 and October 2, 2025, we issued and sold</w:t>
      </w:r>
    </w:p>
    <w:p>
      <w:pPr>
        <w:ind w:left="640" w:right="719" w:hanging="2"/>
        <w:spacing w:after="0" w:line="247" w:lineRule="auto"/>
        <w:tabs>
          <w:tab w:leader="none" w:pos="807"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 aggregate of 141,950,377 shares of our Series D convertible preferred stock at a purchase price of $1.50497 per share, for an aggregate purchase price of approximately $213.6 million and (ii) Common Stock Warrants to purchase an aggregate of 39,414,039 shares of common stock with an exercise price of $0.01 per share, which we refer to collectively as the Series D Preferred Stock Financing.</w:t>
      </w:r>
    </w:p>
    <w:p>
      <w:pPr>
        <w:spacing w:after="0" w:line="5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The following table summarizes the Series D convertible preferred stock and Common Stock Warrants purchased by our directors, executive officers or holders of more than 5% of our capital stock as of the date of the applicable closing, and entities affiliated with certain of our executive officers and directors. The Series D convertible preferred stock and Common Stock Warrants will convert into an aggregate of 141,950,377 shares of common stock and be exercisable into aggregate of 32,142,070 shares of common stock, respectively, immediately prior to the completion of this offering, after giving effect to the applicable conversion ratio and the reverse stock splits effected in connection with this offering.</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Series D</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Preferred</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Common</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Stock</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Stock</w:t>
            </w:r>
          </w:p>
        </w:tc>
        <w:tc>
          <w:tcPr>
            <w:tcW w:w="1240" w:type="dxa"/>
            <w:vAlign w:val="bottom"/>
          </w:tcPr>
          <w:p>
            <w:pPr>
              <w:jc w:val="center"/>
              <w:ind w:right="12"/>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3940" w:type="dxa"/>
            <w:vAlign w:val="bottom"/>
            <w:vMerge w:val="restart"/>
          </w:tcPr>
          <w:p>
            <w:pPr>
              <w:spacing w:after="0"/>
              <w:rPr>
                <w:sz w:val="20"/>
                <w:szCs w:val="20"/>
                <w:color w:val="auto"/>
              </w:rPr>
            </w:pPr>
            <w:r>
              <w:rPr>
                <w:rFonts w:ascii="Arial" w:cs="Arial" w:eastAsia="Arial" w:hAnsi="Arial"/>
                <w:sz w:val="11"/>
                <w:szCs w:val="11"/>
                <w:b w:val="1"/>
                <w:bCs w:val="1"/>
                <w:color w:val="auto"/>
              </w:rPr>
              <w:t>Name</w:t>
            </w:r>
            <w:r>
              <w:rPr>
                <w:rFonts w:ascii="Arial" w:cs="Arial" w:eastAsia="Arial" w:hAnsi="Arial"/>
                <w:sz w:val="15"/>
                <w:szCs w:val="15"/>
                <w:b w:val="1"/>
                <w:bCs w:val="1"/>
                <w:color w:val="auto"/>
                <w:vertAlign w:val="superscript"/>
              </w:rPr>
              <w:t>(1)</w:t>
            </w:r>
          </w:p>
        </w:tc>
        <w:tc>
          <w:tcPr>
            <w:tcW w:w="80" w:type="dxa"/>
            <w:vAlign w:val="bottom"/>
          </w:tcPr>
          <w:p>
            <w:pPr>
              <w:spacing w:after="0"/>
              <w:rPr>
                <w:sz w:val="10"/>
                <w:szCs w:val="10"/>
                <w:color w:val="auto"/>
              </w:rPr>
            </w:pPr>
          </w:p>
        </w:tc>
        <w:tc>
          <w:tcPr>
            <w:tcW w:w="1240" w:type="dxa"/>
            <w:vAlign w:val="bottom"/>
            <w:gridSpan w:val="2"/>
          </w:tcPr>
          <w:p>
            <w:pPr>
              <w:jc w:val="center"/>
              <w:ind w:right="60"/>
              <w:spacing w:after="0" w:line="116" w:lineRule="exact"/>
              <w:rPr>
                <w:sz w:val="20"/>
                <w:szCs w:val="20"/>
                <w:color w:val="auto"/>
              </w:rPr>
            </w:pPr>
            <w:r>
              <w:rPr>
                <w:rFonts w:ascii="Arial" w:cs="Arial" w:eastAsia="Arial" w:hAnsi="Arial"/>
                <w:sz w:val="11"/>
                <w:szCs w:val="11"/>
                <w:b w:val="1"/>
                <w:bCs w:val="1"/>
                <w:color w:val="auto"/>
              </w:rPr>
              <w:t>Purchased</w:t>
            </w:r>
          </w:p>
        </w:tc>
        <w:tc>
          <w:tcPr>
            <w:tcW w:w="1240" w:type="dxa"/>
            <w:vAlign w:val="bottom"/>
            <w:gridSpan w:val="2"/>
          </w:tcPr>
          <w:p>
            <w:pPr>
              <w:jc w:val="center"/>
              <w:ind w:right="80"/>
              <w:spacing w:after="0" w:line="116" w:lineRule="exact"/>
              <w:rPr>
                <w:sz w:val="20"/>
                <w:szCs w:val="20"/>
                <w:color w:val="auto"/>
              </w:rPr>
            </w:pPr>
            <w:r>
              <w:rPr>
                <w:rFonts w:ascii="Arial" w:cs="Arial" w:eastAsia="Arial" w:hAnsi="Arial"/>
                <w:sz w:val="11"/>
                <w:szCs w:val="11"/>
                <w:b w:val="1"/>
                <w:bCs w:val="1"/>
                <w:color w:val="auto"/>
              </w:rPr>
              <w:t>Warrants</w:t>
            </w:r>
          </w:p>
        </w:tc>
        <w:tc>
          <w:tcPr>
            <w:tcW w:w="1240" w:type="dxa"/>
            <w:vAlign w:val="bottom"/>
          </w:tcPr>
          <w:p>
            <w:pPr>
              <w:jc w:val="center"/>
              <w:ind w:right="12"/>
              <w:spacing w:after="0" w:line="116" w:lineRule="exact"/>
              <w:rPr>
                <w:sz w:val="20"/>
                <w:szCs w:val="20"/>
                <w:color w:val="auto"/>
              </w:rPr>
            </w:pPr>
            <w:r>
              <w:rPr>
                <w:rFonts w:ascii="Arial" w:cs="Arial" w:eastAsia="Arial" w:hAnsi="Arial"/>
                <w:sz w:val="11"/>
                <w:szCs w:val="11"/>
                <w:b w:val="1"/>
                <w:bCs w:val="1"/>
                <w:color w:val="auto"/>
              </w:rPr>
              <w:t>Purchase</w:t>
            </w:r>
          </w:p>
        </w:tc>
        <w:tc>
          <w:tcPr>
            <w:tcW w:w="0" w:type="dxa"/>
            <w:vAlign w:val="bottom"/>
          </w:tcPr>
          <w:p>
            <w:pPr>
              <w:spacing w:after="0"/>
              <w:rPr>
                <w:sz w:val="1"/>
                <w:szCs w:val="1"/>
                <w:color w:val="auto"/>
              </w:rPr>
            </w:pPr>
          </w:p>
        </w:tc>
      </w:tr>
      <w:tr>
        <w:trPr>
          <w:trHeight w:val="150"/>
        </w:trPr>
        <w:tc>
          <w:tcPr>
            <w:tcW w:w="3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240" w:type="dxa"/>
            <w:vAlign w:val="bottom"/>
          </w:tcPr>
          <w:p>
            <w:pPr>
              <w:jc w:val="center"/>
              <w:ind w:right="52"/>
              <w:spacing w:after="0" w:line="151" w:lineRule="exact"/>
              <w:rPr>
                <w:sz w:val="20"/>
                <w:szCs w:val="20"/>
                <w:color w:val="auto"/>
              </w:rPr>
            </w:pPr>
            <w:r>
              <w:rPr>
                <w:rFonts w:ascii="Arial" w:cs="Arial" w:eastAsia="Arial" w:hAnsi="Arial"/>
                <w:sz w:val="11"/>
                <w:szCs w:val="11"/>
                <w:b w:val="1"/>
                <w:bCs w:val="1"/>
                <w:color w:val="auto"/>
              </w:rPr>
              <w:t>Price ($)</w:t>
            </w:r>
            <w:r>
              <w:rPr>
                <w:rFonts w:ascii="Arial" w:cs="Arial" w:eastAsia="Arial" w:hAnsi="Arial"/>
                <w:sz w:val="15"/>
                <w:szCs w:val="15"/>
                <w:b w:val="1"/>
                <w:bCs w:val="1"/>
                <w:color w:val="auto"/>
                <w:vertAlign w:val="superscript"/>
              </w:rPr>
              <w:t>(2)</w:t>
            </w:r>
          </w:p>
        </w:tc>
        <w:tc>
          <w:tcPr>
            <w:tcW w:w="0" w:type="dxa"/>
            <w:vAlign w:val="bottom"/>
          </w:tcPr>
          <w:p>
            <w:pPr>
              <w:spacing w:after="0"/>
              <w:rPr>
                <w:sz w:val="1"/>
                <w:szCs w:val="1"/>
                <w:color w:val="auto"/>
              </w:rPr>
            </w:pPr>
          </w:p>
        </w:tc>
      </w:tr>
      <w:tr>
        <w:trPr>
          <w:trHeight w:val="137"/>
        </w:trPr>
        <w:tc>
          <w:tcPr>
            <w:tcW w:w="394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Jeito II S.L.P.</w:t>
            </w:r>
          </w:p>
        </w:tc>
        <w:tc>
          <w:tcPr>
            <w:tcW w:w="80" w:type="dxa"/>
            <w:vAlign w:val="bottom"/>
          </w:tcPr>
          <w:p>
            <w:pPr>
              <w:spacing w:after="0"/>
              <w:rPr>
                <w:sz w:val="11"/>
                <w:szCs w:val="11"/>
                <w:color w:val="auto"/>
              </w:rPr>
            </w:pPr>
          </w:p>
        </w:tc>
        <w:tc>
          <w:tcPr>
            <w:tcW w:w="11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18,272,789</w:t>
            </w:r>
          </w:p>
        </w:tc>
        <w:tc>
          <w:tcPr>
            <w:tcW w:w="80" w:type="dxa"/>
            <w:vAlign w:val="bottom"/>
          </w:tcPr>
          <w:p>
            <w:pPr>
              <w:spacing w:after="0"/>
              <w:rPr>
                <w:sz w:val="11"/>
                <w:szCs w:val="11"/>
                <w:color w:val="auto"/>
              </w:rPr>
            </w:pPr>
          </w:p>
        </w:tc>
        <w:tc>
          <w:tcPr>
            <w:tcW w:w="11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4,111,377</w:t>
            </w:r>
          </w:p>
        </w:tc>
        <w:tc>
          <w:tcPr>
            <w:tcW w:w="80" w:type="dxa"/>
            <w:vAlign w:val="bottom"/>
          </w:tcPr>
          <w:p>
            <w:pPr>
              <w:spacing w:after="0"/>
              <w:rPr>
                <w:sz w:val="11"/>
                <w:szCs w:val="11"/>
                <w:color w:val="auto"/>
              </w:rPr>
            </w:pPr>
          </w:p>
        </w:tc>
        <w:tc>
          <w:tcPr>
            <w:tcW w:w="1240" w:type="dxa"/>
            <w:vAlign w:val="bottom"/>
            <w:tcBorders>
              <w:top w:val="single" w:sz="8" w:color="auto"/>
            </w:tcBorders>
          </w:tcPr>
          <w:p>
            <w:pPr>
              <w:jc w:val="right"/>
              <w:ind w:right="12"/>
              <w:spacing w:after="0" w:line="137" w:lineRule="exact"/>
              <w:rPr>
                <w:sz w:val="20"/>
                <w:szCs w:val="20"/>
                <w:color w:val="auto"/>
              </w:rPr>
            </w:pPr>
            <w:r>
              <w:rPr>
                <w:rFonts w:ascii="Arial" w:cs="Arial" w:eastAsia="Arial" w:hAnsi="Arial"/>
                <w:sz w:val="14"/>
                <w:szCs w:val="14"/>
                <w:color w:val="auto"/>
              </w:rPr>
              <w:t>27,499,999</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4"/>
                <w:szCs w:val="14"/>
                <w:color w:val="auto"/>
              </w:rPr>
              <w:t>TPG LSI Rise Orazio, L.P.</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18,272,789</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4,111,377</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27,499,999</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4"/>
                <w:szCs w:val="14"/>
                <w:color w:val="auto"/>
              </w:rPr>
              <w:t>Dimension Capital II, L.P.</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16,611,626</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4,983,487</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24,999,999</w:t>
            </w:r>
          </w:p>
        </w:tc>
        <w:tc>
          <w:tcPr>
            <w:tcW w:w="0" w:type="dxa"/>
            <w:vAlign w:val="bottom"/>
          </w:tcPr>
          <w:p>
            <w:pPr>
              <w:spacing w:after="0"/>
              <w:rPr>
                <w:sz w:val="1"/>
                <w:szCs w:val="1"/>
                <w:color w:val="auto"/>
              </w:rPr>
            </w:pP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4"/>
                <w:szCs w:val="14"/>
                <w:color w:val="auto"/>
              </w:rPr>
              <w:t>Lightspeed Venture Partners XV-B (Ignite), L.P.</w:t>
            </w:r>
          </w:p>
        </w:tc>
        <w:tc>
          <w:tcPr>
            <w:tcW w:w="13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16,611,626</w:t>
            </w:r>
          </w:p>
        </w:tc>
        <w:tc>
          <w:tcPr>
            <w:tcW w:w="12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4,983,487</w:t>
            </w:r>
          </w:p>
        </w:tc>
        <w:tc>
          <w:tcPr>
            <w:tcW w:w="1240" w:type="dxa"/>
            <w:vAlign w:val="bottom"/>
          </w:tcPr>
          <w:p>
            <w:pPr>
              <w:jc w:val="right"/>
              <w:ind w:right="12"/>
              <w:spacing w:after="0" w:line="145" w:lineRule="exact"/>
              <w:rPr>
                <w:sz w:val="20"/>
                <w:szCs w:val="20"/>
                <w:color w:val="auto"/>
              </w:rPr>
            </w:pPr>
            <w:r>
              <w:rPr>
                <w:rFonts w:ascii="Arial" w:cs="Arial" w:eastAsia="Arial" w:hAnsi="Arial"/>
                <w:sz w:val="14"/>
                <w:szCs w:val="14"/>
                <w:color w:val="auto"/>
              </w:rPr>
              <w:t>24,999,999</w:t>
            </w:r>
          </w:p>
        </w:tc>
        <w:tc>
          <w:tcPr>
            <w:tcW w:w="0" w:type="dxa"/>
            <w:vAlign w:val="bottom"/>
          </w:tcPr>
          <w:p>
            <w:pPr>
              <w:spacing w:after="0"/>
              <w:rPr>
                <w:sz w:val="1"/>
                <w:szCs w:val="1"/>
                <w:color w:val="auto"/>
              </w:rPr>
            </w:pPr>
          </w:p>
        </w:tc>
      </w:tr>
      <w:tr>
        <w:trPr>
          <w:trHeight w:val="161"/>
        </w:trPr>
        <w:tc>
          <w:tcPr>
            <w:tcW w:w="3940" w:type="dxa"/>
            <w:vAlign w:val="bottom"/>
          </w:tcPr>
          <w:p>
            <w:pPr>
              <w:spacing w:after="0" w:line="161" w:lineRule="exact"/>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(3)</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13,289,300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3,986,788</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19,999,998</w:t>
            </w:r>
          </w:p>
        </w:tc>
        <w:tc>
          <w:tcPr>
            <w:tcW w:w="0" w:type="dxa"/>
            <w:vAlign w:val="bottom"/>
          </w:tcPr>
          <w:p>
            <w:pPr>
              <w:spacing w:after="0"/>
              <w:rPr>
                <w:sz w:val="1"/>
                <w:szCs w:val="1"/>
                <w:color w:val="auto"/>
              </w:rPr>
            </w:pPr>
          </w:p>
        </w:tc>
      </w:tr>
      <w:tr>
        <w:trPr>
          <w:trHeight w:val="177"/>
        </w:trPr>
        <w:tc>
          <w:tcPr>
            <w:tcW w:w="3940" w:type="dxa"/>
            <w:vAlign w:val="bottom"/>
          </w:tcPr>
          <w:p>
            <w:pPr>
              <w:spacing w:after="0" w:line="177" w:lineRule="exact"/>
              <w:rPr>
                <w:sz w:val="20"/>
                <w:szCs w:val="20"/>
                <w:color w:val="auto"/>
              </w:rPr>
            </w:pPr>
            <w:r>
              <w:rPr>
                <w:rFonts w:ascii="Arial" w:cs="Arial" w:eastAsia="Arial" w:hAnsi="Arial"/>
                <w:sz w:val="14"/>
                <w:szCs w:val="14"/>
                <w:color w:val="auto"/>
              </w:rPr>
              <w:t>Entities affiliated with SR One Capital Management</w:t>
            </w:r>
            <w:r>
              <w:rPr>
                <w:rFonts w:ascii="Arial" w:cs="Arial" w:eastAsia="Arial" w:hAnsi="Arial"/>
                <w:sz w:val="19"/>
                <w:szCs w:val="19"/>
                <w:color w:val="auto"/>
                <w:vertAlign w:val="superscript"/>
              </w:rPr>
              <w:t>(4)</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10,917,160</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3,109,918</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16,429,998</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4"/>
                <w:szCs w:val="14"/>
                <w:color w:val="auto"/>
              </w:rPr>
              <w:t>OrbiMed Private Investments VIII, L.P.</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8,638,045</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2,476,018</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12,999,999</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20"/>
                <w:szCs w:val="20"/>
                <w:color w:val="auto"/>
              </w:rPr>
            </w:pPr>
            <w:r>
              <w:rPr>
                <w:rFonts w:ascii="Arial" w:cs="Arial" w:eastAsia="Arial" w:hAnsi="Arial"/>
                <w:sz w:val="14"/>
                <w:szCs w:val="14"/>
                <w:color w:val="auto"/>
              </w:rPr>
              <w:t>Gary D. Glick, Ph.D.</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166,116</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49,834</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59690</wp:posOffset>
            </wp:positionV>
            <wp:extent cx="45720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57200" cy="6985"/>
                    </a:xfrm>
                    <a:prstGeom prst="rect">
                      <a:avLst/>
                    </a:prstGeom>
                    <a:noFill/>
                  </pic:spPr>
                </pic:pic>
              </a:graphicData>
            </a:graphic>
          </wp:anchor>
        </w:drawing>
      </w:r>
    </w:p>
    <w:p>
      <w:pPr>
        <w:spacing w:after="0" w:line="156" w:lineRule="exact"/>
        <w:rPr>
          <w:sz w:val="20"/>
          <w:szCs w:val="20"/>
          <w:color w:val="auto"/>
        </w:rPr>
      </w:pPr>
    </w:p>
    <w:p>
      <w:pPr>
        <w:ind w:left="1080" w:right="899" w:hanging="442"/>
        <w:spacing w:after="0" w:line="250" w:lineRule="auto"/>
        <w:tabs>
          <w:tab w:leader="none" w:pos="10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Additional details regarding certain of these stockholders and their equity holdings are included in the section of this prospectus titled “</w:t>
      </w:r>
      <w:r>
        <w:rPr>
          <w:rFonts w:ascii="Arial" w:cs="Arial" w:eastAsia="Arial" w:hAnsi="Arial"/>
          <w:sz w:val="14"/>
          <w:szCs w:val="14"/>
          <w:i w:val="1"/>
          <w:iCs w:val="1"/>
          <w:color w:val="auto"/>
        </w:rPr>
        <w:t>Principal Stockholders</w:t>
      </w:r>
      <w:r>
        <w:rPr>
          <w:rFonts w:ascii="Arial" w:cs="Arial" w:eastAsia="Arial" w:hAnsi="Arial"/>
          <w:sz w:val="14"/>
          <w:szCs w:val="14"/>
          <w:color w:val="auto"/>
        </w:rPr>
        <w:t>.”</w:t>
      </w:r>
    </w:p>
    <w:p>
      <w:pPr>
        <w:ind w:left="1080" w:right="739" w:hanging="442"/>
        <w:spacing w:after="0"/>
        <w:tabs>
          <w:tab w:leader="none" w:pos="10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aggregate purchase price represents the price paid at the closing and does not include the proceeds from the exercise of the Common Stock Warrants, if any.</w:t>
      </w:r>
    </w:p>
    <w:p>
      <w:pPr>
        <w:ind w:left="1080" w:right="699" w:hanging="442"/>
        <w:spacing w:after="0"/>
        <w:tabs>
          <w:tab w:leader="none" w:pos="10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1,501,065 shares of Series D convertible preferred stock and Common Stock Warrants to purchase up to 450,319 shares of common stock held by Fidelity Mt. Vernon Street Trust: Fidelity Series Growth Company Fund, (ii) 2,563,416 shares of Series D convertible preferred stock and Common Stock Warrants to purchase up to 769,024 shares of common stock held by Fidelity Mt. Vernon Street Trust: Fidelity Growth Company Fund, (iii) 7,470,344 shares of Series D convertible preferred stock and Common Stock Warrants to purchase up to 2,241,103 shares of common stock held by Fidelity Growth Company Commingled Pool and (iv) 1,754,475 shares of Series D convertible preferred stock and Common Stock Warrants to purchase up to 526,342 shares held by Fidelity Mt. Vernon Street Trust: Fidelity Growth Company K6 Fund.</w:t>
      </w:r>
    </w:p>
    <w:p>
      <w:pPr>
        <w:ind w:left="1080" w:right="739" w:hanging="442"/>
        <w:spacing w:after="0" w:line="245" w:lineRule="auto"/>
        <w:tabs>
          <w:tab w:leader="none" w:pos="10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6,644,650 shares of Series D convertible preferred stock and Common Stock Warrants to purchase up to 1,861,211 shares of common stock held by SR One Capital Fund I Aggregator, LP, or Fund I, (ii) 1,614,650 shares of Series D convertible preferred stock and Common Stock Warrants to purchase up to 484,395 shares of common stock held by SR One Co-Invest IV-A LLC and (iii) 2,657,860 shares of Series D convertible preferred stock and Common Stock Warrants to purchase up to 764,312 shares of common stock held by AMZL, LP.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0" w:name="page211"/>
    <w:bookmarkEnd w:id="21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Investors’ Rights Agreement</w:t>
      </w:r>
    </w:p>
    <w:p>
      <w:pPr>
        <w:spacing w:after="0" w:line="86" w:lineRule="exact"/>
        <w:rPr>
          <w:sz w:val="20"/>
          <w:szCs w:val="20"/>
          <w:color w:val="auto"/>
        </w:rPr>
      </w:pPr>
    </w:p>
    <w:p>
      <w:pPr>
        <w:ind w:left="640" w:right="679" w:firstLine="438"/>
        <w:spacing w:after="0" w:line="244" w:lineRule="auto"/>
        <w:rPr>
          <w:sz w:val="20"/>
          <w:szCs w:val="20"/>
          <w:color w:val="auto"/>
        </w:rPr>
      </w:pPr>
      <w:r>
        <w:rPr>
          <w:rFonts w:ascii="Arial" w:cs="Arial" w:eastAsia="Arial" w:hAnsi="Arial"/>
          <w:sz w:val="14"/>
          <w:szCs w:val="14"/>
          <w:color w:val="auto"/>
        </w:rPr>
        <w:t>On August 30, 2021, in connection with the initial issuance and sale of our Series A convertible preferred stock, we entered into an Investors’ Rights Agreement, or the Rights Agreement, with, among others, the holders of more than 5% of our outstanding capital stock. The Rights Agreement, as amended on November 15, 2021 and November 22, 2021 in connection with the offer and sale of our Series A-1 convertible preferred stock, or the Series A-1 Preferred Financing, and our Series A-2 convertible preferred stock, or the Series A-2 Preferred Financing, respectively, as subsequently amended and restated on May 13, 2022 in connection with the offer and sale of our Series B convertible preferred stock, or the Series B Preferred Financing, and on October 25, 2023 in connection with the Series C Preferred Stock Financing, as further amended on November 22, 2024 in connection with the Series C-1 Preferred Stock Financing and as further amended and restated on June 16, 2025 in connection with the Series D Preferred Stock Financing, is referred to herein as the Third A&amp;R Rights Agreement. Certain holders of more than 5% of our outstanding capital stock are party to the Third A&amp;R Rights Agreement, including those listed in the table under the headings “</w:t>
      </w:r>
      <w:r>
        <w:rPr>
          <w:rFonts w:ascii="Arial" w:cs="Arial" w:eastAsia="Arial" w:hAnsi="Arial"/>
          <w:sz w:val="14"/>
          <w:szCs w:val="14"/>
          <w:i w:val="1"/>
          <w:iCs w:val="1"/>
          <w:color w:val="auto"/>
        </w:rPr>
        <w:t>—Series C Preferred Stock</w:t>
      </w:r>
      <w:r>
        <w:rPr>
          <w:rFonts w:ascii="Arial" w:cs="Arial" w:eastAsia="Arial" w:hAnsi="Arial"/>
          <w:sz w:val="14"/>
          <w:szCs w:val="14"/>
          <w:color w:val="auto"/>
        </w:rPr>
        <w:t xml:space="preserve"> </w:t>
      </w:r>
      <w:r>
        <w:rPr>
          <w:rFonts w:ascii="Arial" w:cs="Arial" w:eastAsia="Arial" w:hAnsi="Arial"/>
          <w:sz w:val="14"/>
          <w:szCs w:val="14"/>
          <w:i w:val="1"/>
          <w:iCs w:val="1"/>
          <w:color w:val="auto"/>
        </w:rPr>
        <w:t>Financing” and “—Series D Preferred Stock Financing</w:t>
      </w:r>
      <w:r>
        <w:rPr>
          <w:rFonts w:ascii="Arial" w:cs="Arial" w:eastAsia="Arial" w:hAnsi="Arial"/>
          <w:sz w:val="14"/>
          <w:szCs w:val="14"/>
          <w:color w:val="auto"/>
        </w:rPr>
        <w:t>” above.</w:t>
      </w:r>
    </w:p>
    <w:p>
      <w:pPr>
        <w:spacing w:after="0" w:line="55" w:lineRule="exact"/>
        <w:rPr>
          <w:sz w:val="20"/>
          <w:szCs w:val="20"/>
          <w:color w:val="auto"/>
        </w:rPr>
      </w:pPr>
    </w:p>
    <w:p>
      <w:pPr>
        <w:ind w:left="640" w:right="659" w:firstLine="438"/>
        <w:spacing w:after="0" w:line="261" w:lineRule="auto"/>
        <w:rPr>
          <w:sz w:val="20"/>
          <w:szCs w:val="20"/>
          <w:color w:val="auto"/>
        </w:rPr>
      </w:pPr>
      <w:r>
        <w:rPr>
          <w:rFonts w:ascii="Arial" w:cs="Arial" w:eastAsia="Arial" w:hAnsi="Arial"/>
          <w:sz w:val="14"/>
          <w:szCs w:val="14"/>
          <w:color w:val="auto"/>
        </w:rPr>
        <w:t>The Third A&amp;R Rights Agreement grants certain rights to the holders of our outstanding convertible preferred stock, including certain registration rights with respect to the registrable securities held by them. See the section of this prospectus titled “</w:t>
      </w:r>
      <w:r>
        <w:rPr>
          <w:rFonts w:ascii="Arial" w:cs="Arial" w:eastAsia="Arial" w:hAnsi="Arial"/>
          <w:sz w:val="14"/>
          <w:szCs w:val="14"/>
          <w:i w:val="1"/>
          <w:iCs w:val="1"/>
          <w:color w:val="auto"/>
        </w:rPr>
        <w:t>Description of Capital Stock—Registration Rights</w:t>
      </w:r>
      <w:r>
        <w:rPr>
          <w:rFonts w:ascii="Arial" w:cs="Arial" w:eastAsia="Arial" w:hAnsi="Arial"/>
          <w:sz w:val="14"/>
          <w:szCs w:val="14"/>
          <w:color w:val="auto"/>
        </w:rPr>
        <w:t>” for additional information.</w:t>
      </w:r>
    </w:p>
    <w:p>
      <w:pPr>
        <w:spacing w:after="0" w:line="44" w:lineRule="exact"/>
        <w:rPr>
          <w:sz w:val="20"/>
          <w:szCs w:val="20"/>
          <w:color w:val="auto"/>
        </w:rPr>
      </w:pPr>
    </w:p>
    <w:p>
      <w:pPr>
        <w:ind w:left="640" w:right="739" w:firstLine="438"/>
        <w:spacing w:after="0" w:line="250" w:lineRule="auto"/>
        <w:rPr>
          <w:sz w:val="20"/>
          <w:szCs w:val="20"/>
          <w:color w:val="auto"/>
        </w:rPr>
      </w:pPr>
      <w:r>
        <w:rPr>
          <w:rFonts w:ascii="Arial" w:cs="Arial" w:eastAsia="Arial" w:hAnsi="Arial"/>
          <w:sz w:val="14"/>
          <w:szCs w:val="14"/>
          <w:color w:val="auto"/>
        </w:rPr>
        <w:t>In addition, the Third A&amp;R Rights Agreement imposes certain affirmative obligations on us, including, among other things, our obligation to grant certain investors who hold shares of our convertible preferred stock a right of first offer with respect to future sales of our equity, excluding the shares to be offered and sold in this offering, and grant certain information and inspection rights to such investors. Each of these other obligations will terminate in connection with the closing of this offering.</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Voting Agreement</w:t>
      </w:r>
    </w:p>
    <w:p>
      <w:pPr>
        <w:spacing w:after="0" w:line="86" w:lineRule="exact"/>
        <w:rPr>
          <w:sz w:val="20"/>
          <w:szCs w:val="20"/>
          <w:color w:val="auto"/>
        </w:rPr>
      </w:pPr>
    </w:p>
    <w:p>
      <w:pPr>
        <w:ind w:left="640" w:right="659" w:firstLine="438"/>
        <w:spacing w:after="0" w:line="244" w:lineRule="auto"/>
        <w:rPr>
          <w:sz w:val="20"/>
          <w:szCs w:val="20"/>
          <w:color w:val="auto"/>
        </w:rPr>
      </w:pPr>
      <w:r>
        <w:rPr>
          <w:rFonts w:ascii="Arial" w:cs="Arial" w:eastAsia="Arial" w:hAnsi="Arial"/>
          <w:sz w:val="14"/>
          <w:szCs w:val="14"/>
          <w:color w:val="auto"/>
        </w:rPr>
        <w:t>On August 30, 2021, in connection with the Series A Preferred Stock Financing, we entered into a Voting Agreement, or the Voting Agreement, with, among others, the holders of more than 5% of our outstanding capital stock. The Voting Agreement, as amended on November 15, 2021 and November 22, 2021 in connection with the Series A-1 Preferred Stock Financing and Series A-2 Preferred Stock Financing, respectively, as subsequently amended and restated on May 13, 2022 in connection with the Series B Preferred Stock Financing and on October 25, 2023 in connection with the Series C Preferred Stock Financing, as further amended on November 22, 2024 in connection with the Series C-1 Preferred Stock Financing and as further amended and restated on June 16, 2025 in connection with the Series D Preferred Stock Financing, is referred to herein as the Third A&amp;R Voting Agreement. The Third A&amp;R Voting Agreement was amended on July 11, 2025 and August 6, 2025. Certain holders of more than 5% of our outstanding capital stock are party to the Third A&amp;R Voting Agreement, including those listed in the table under the headings “</w:t>
      </w:r>
      <w:r>
        <w:rPr>
          <w:rFonts w:ascii="Arial" w:cs="Arial" w:eastAsia="Arial" w:hAnsi="Arial"/>
          <w:sz w:val="14"/>
          <w:szCs w:val="14"/>
          <w:i w:val="1"/>
          <w:iCs w:val="1"/>
          <w:color w:val="auto"/>
        </w:rPr>
        <w:t>—Series</w:t>
      </w:r>
      <w:r>
        <w:rPr>
          <w:rFonts w:ascii="Arial" w:cs="Arial" w:eastAsia="Arial" w:hAnsi="Arial"/>
          <w:sz w:val="14"/>
          <w:szCs w:val="14"/>
          <w:color w:val="auto"/>
        </w:rPr>
        <w:t xml:space="preserve"> </w:t>
      </w:r>
      <w:r>
        <w:rPr>
          <w:rFonts w:ascii="Arial" w:cs="Arial" w:eastAsia="Arial" w:hAnsi="Arial"/>
          <w:sz w:val="14"/>
          <w:szCs w:val="14"/>
          <w:i w:val="1"/>
          <w:iCs w:val="1"/>
          <w:color w:val="auto"/>
        </w:rPr>
        <w:t>C Preferred Stock Financing” and “—Series D Preferred Stock Financing</w:t>
      </w:r>
      <w:r>
        <w:rPr>
          <w:rFonts w:ascii="Arial" w:cs="Arial" w:eastAsia="Arial" w:hAnsi="Arial"/>
          <w:sz w:val="14"/>
          <w:szCs w:val="14"/>
          <w:color w:val="auto"/>
        </w:rPr>
        <w:t>” above.</w:t>
      </w:r>
    </w:p>
    <w:p>
      <w:pPr>
        <w:spacing w:after="0" w:line="57" w:lineRule="exact"/>
        <w:rPr>
          <w:sz w:val="20"/>
          <w:szCs w:val="20"/>
          <w:color w:val="auto"/>
        </w:rPr>
      </w:pPr>
    </w:p>
    <w:p>
      <w:pPr>
        <w:ind w:left="640" w:right="759" w:firstLine="438"/>
        <w:spacing w:after="0" w:line="244" w:lineRule="auto"/>
        <w:rPr>
          <w:sz w:val="20"/>
          <w:szCs w:val="20"/>
          <w:color w:val="auto"/>
        </w:rPr>
      </w:pPr>
      <w:r>
        <w:rPr>
          <w:rFonts w:ascii="Arial" w:cs="Arial" w:eastAsia="Arial" w:hAnsi="Arial"/>
          <w:sz w:val="14"/>
          <w:szCs w:val="14"/>
          <w:color w:val="auto"/>
        </w:rPr>
        <w:t>Pursuant to the Third A&amp;R Voting Agreement, the parties thereto agreed to vote their shares as needed to (i) maintain the size of our board of directors at twelve members (subsequently updated to thirteen members), (ii) (A) cause OrbiMed’s designee, currently Dr. Gordon, to be elected as a Series A director, (B) cause SR One’s nominee, currently Ms. Carroll, to be elected as a Series A director, (C) cause Dimension Capital’s nominee, currently Nan Li, to be elected as a Series D director, (D) cause Sanofi Venture’s nominee, currently Dr. Hill, to be elected as an independent director,</w:t>
      </w:r>
    </w:p>
    <w:p>
      <w:pPr>
        <w:spacing w:after="0" w:line="1" w:lineRule="exact"/>
        <w:rPr>
          <w:sz w:val="20"/>
          <w:szCs w:val="20"/>
          <w:color w:val="auto"/>
        </w:rPr>
      </w:pPr>
    </w:p>
    <w:p>
      <w:pPr>
        <w:ind w:left="640" w:right="699" w:hanging="2"/>
        <w:spacing w:after="0" w:line="241" w:lineRule="auto"/>
        <w:tabs>
          <w:tab w:leader="none" w:pos="871" w:val="left"/>
        </w:tabs>
        <w:numPr>
          <w:ilvl w:val="0"/>
          <w:numId w:val="90"/>
        </w:numPr>
        <w:rPr>
          <w:rFonts w:ascii="Arial" w:cs="Arial" w:eastAsia="Arial" w:hAnsi="Arial"/>
          <w:sz w:val="14"/>
          <w:szCs w:val="14"/>
          <w:color w:val="auto"/>
        </w:rPr>
      </w:pPr>
      <w:r>
        <w:rPr>
          <w:rFonts w:ascii="Arial" w:cs="Arial" w:eastAsia="Arial" w:hAnsi="Arial"/>
          <w:sz w:val="14"/>
          <w:szCs w:val="14"/>
          <w:color w:val="auto"/>
        </w:rPr>
        <w:t>cause Lightspeed Venture Partners XV-B (Ignite), L.P.’s nominee, currently Dr. Chu, to be elected as a preferred director (F) cause Jeito II S.L.P.’s nominee, currently Ms. Pavletic, to be elected as a preferred director, (G) cause TPG LSI Rise Orazio, L.P.’s nominee, currently Dr. Ng, to be elected as a preferred director, (H) cause our Chief Executive Officer, initially Dr. Glick, to be elected, (I) cause one other individual, initially Dr. Odegard, who is designated by a majority of the preferred directors and the Chief Executive Officer to be elected (J) cause one individual independent director, initially Dr. Leiden, who is designated by a majority of the preferred directors and the chief executive officer to be elected, subject to the approval of General Catalyst Group, (K) and (iii) so long as Dr. Glick holds at least 1,863,033 shares of voting stock, if at any time he no longer serves as our Chief Executive Officer, elect a director designated by Dr. Glick. In the event of a sale of the company (as defined in the Third A&amp;R Voting Agreement) that has been approved by our board of directors, the required holders and a majority of the shares of our Series D convertible preferred stock, each party is required to vote in favor of the transaction and/or sell their stock in the transaction, and otherwise execute and deliver all related documentation and refrain from exercising dissenter’s rights or depositing their shares in a voting trust or other arrangement, subject to certain limitations. The rights set forth above will terminate upon the consummation of this offering.</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1" w:name="page212"/>
    <w:bookmarkEnd w:id="21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Right of First Refusal and Co-Sale Agreement</w:t>
      </w:r>
    </w:p>
    <w:p>
      <w:pPr>
        <w:spacing w:after="0" w:line="86" w:lineRule="exact"/>
        <w:rPr>
          <w:sz w:val="20"/>
          <w:szCs w:val="20"/>
          <w:color w:val="auto"/>
        </w:rPr>
      </w:pPr>
    </w:p>
    <w:p>
      <w:pPr>
        <w:ind w:left="640" w:right="779" w:firstLine="438"/>
        <w:spacing w:after="0" w:line="244" w:lineRule="auto"/>
        <w:rPr>
          <w:sz w:val="20"/>
          <w:szCs w:val="20"/>
          <w:color w:val="auto"/>
        </w:rPr>
      </w:pPr>
      <w:r>
        <w:rPr>
          <w:rFonts w:ascii="Arial" w:cs="Arial" w:eastAsia="Arial" w:hAnsi="Arial"/>
          <w:sz w:val="14"/>
          <w:szCs w:val="14"/>
          <w:color w:val="auto"/>
        </w:rPr>
        <w:t>On August 30, 2021, in connection with the Series A Preferred Stock Financing, we entered into a Right of First Refusal and Co-Sale Agreement, or the RoFR Agreement, with, among others, the holders of more than 5% of our outstanding capital stock listed in the table under the heading “</w:t>
      </w:r>
      <w:r>
        <w:rPr>
          <w:rFonts w:ascii="Arial" w:cs="Arial" w:eastAsia="Arial" w:hAnsi="Arial"/>
          <w:sz w:val="14"/>
          <w:szCs w:val="14"/>
          <w:i w:val="1"/>
          <w:iCs w:val="1"/>
          <w:color w:val="auto"/>
        </w:rPr>
        <w:t>—Series A Preferred Stock Financing</w:t>
      </w:r>
      <w:r>
        <w:rPr>
          <w:rFonts w:ascii="Arial" w:cs="Arial" w:eastAsia="Arial" w:hAnsi="Arial"/>
          <w:sz w:val="14"/>
          <w:szCs w:val="14"/>
          <w:color w:val="auto"/>
        </w:rPr>
        <w:t>” above. The RoFR Agreement, as amended on November 15, 2021 and November 22, 2021 in connection with the Series A-1 Preferred Stock Financing and the Series A-2 Preferred Stock Financing, respectively, as subsequently amended and restated on May 13, 2022 in connection with the Series B Preferred Stock Financing and on October 25, 2023 in connection with the Series C Preferred Stock Financing, as further amended on November 22, 2024 in connection with the Series C-1 Preferred Stock Financing and as further amended and restated on June 16, 2025 in connection with the Series D Preferred Stock Financing is referred to herein as the Third A&amp;R RoFR Agreement. Certain holders of more than 5% of our outstanding capital stock are party to the Third A&amp;R RoFR Agreement, including those listed in the table under the heading “</w:t>
      </w:r>
      <w:r>
        <w:rPr>
          <w:rFonts w:ascii="Arial" w:cs="Arial" w:eastAsia="Arial" w:hAnsi="Arial"/>
          <w:sz w:val="14"/>
          <w:szCs w:val="14"/>
          <w:i w:val="1"/>
          <w:iCs w:val="1"/>
          <w:color w:val="auto"/>
        </w:rPr>
        <w:t>—Series D Preferred Stock Financing</w:t>
      </w:r>
      <w:r>
        <w:rPr>
          <w:rFonts w:ascii="Arial" w:cs="Arial" w:eastAsia="Arial" w:hAnsi="Arial"/>
          <w:sz w:val="14"/>
          <w:szCs w:val="14"/>
          <w:color w:val="auto"/>
        </w:rPr>
        <w:t>” above.</w:t>
      </w:r>
    </w:p>
    <w:p>
      <w:pPr>
        <w:spacing w:after="0" w:line="57" w:lineRule="exact"/>
        <w:rPr>
          <w:sz w:val="20"/>
          <w:szCs w:val="20"/>
          <w:color w:val="auto"/>
        </w:rPr>
      </w:pPr>
    </w:p>
    <w:p>
      <w:pPr>
        <w:ind w:left="640" w:right="699" w:firstLine="438"/>
        <w:spacing w:after="0" w:line="250" w:lineRule="auto"/>
        <w:rPr>
          <w:sz w:val="20"/>
          <w:szCs w:val="20"/>
          <w:color w:val="auto"/>
        </w:rPr>
      </w:pPr>
      <w:r>
        <w:rPr>
          <w:rFonts w:ascii="Arial" w:cs="Arial" w:eastAsia="Arial" w:hAnsi="Arial"/>
          <w:sz w:val="14"/>
          <w:szCs w:val="14"/>
          <w:color w:val="auto"/>
        </w:rPr>
        <w:t>Pursuant to the Third A&amp;R RoFR Agreement, we have a right of first refusal in respect of certain sales of securities by certain holders of our common stock, including holders of more than 5% of our outstanding capital stock. To the extent we do not exercise such right in full, certain holders of our convertible preferred stock are entitled to certain rights of first refusal and co-sale in respect of such sale. The Third A&amp;R RoFR Agreement will terminate in connection with the closing of this offering.</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Management Rights Letters</w:t>
      </w:r>
    </w:p>
    <w:p>
      <w:pPr>
        <w:spacing w:after="0" w:line="86" w:lineRule="exact"/>
        <w:rPr>
          <w:sz w:val="20"/>
          <w:szCs w:val="20"/>
          <w:color w:val="auto"/>
        </w:rPr>
      </w:pPr>
    </w:p>
    <w:p>
      <w:pPr>
        <w:ind w:left="640" w:right="759" w:firstLine="438"/>
        <w:spacing w:after="0" w:line="247" w:lineRule="auto"/>
        <w:rPr>
          <w:sz w:val="20"/>
          <w:szCs w:val="20"/>
          <w:color w:val="auto"/>
        </w:rPr>
      </w:pPr>
      <w:r>
        <w:rPr>
          <w:rFonts w:ascii="Arial" w:cs="Arial" w:eastAsia="Arial" w:hAnsi="Arial"/>
          <w:sz w:val="14"/>
          <w:szCs w:val="14"/>
          <w:color w:val="auto"/>
        </w:rPr>
        <w:t>In connection with the issuance and sale of our convertible preferred stock, we entered into management rights letters with certain purchasers of our convertible preferred stock, including holders of more than 5% of our capital stock and entities with which certain of our directors or officers are affiliated, pursuant to which such entities were granted certain management rights, including preemptive rights, observer rights and the rights to receive board materials, consult with and advise our management on significant business issues, review our operating plans, examine our books and records and inspect our facilities. These management rights letters or the rights provided therein, other than certain confidentiality obligations, will terminate upon completion of this offering.</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Employment Arrangements</w:t>
      </w:r>
    </w:p>
    <w:p>
      <w:pPr>
        <w:spacing w:after="0" w:line="86" w:lineRule="exact"/>
        <w:rPr>
          <w:sz w:val="20"/>
          <w:szCs w:val="20"/>
          <w:color w:val="auto"/>
        </w:rPr>
      </w:pPr>
    </w:p>
    <w:p>
      <w:pPr>
        <w:ind w:left="640" w:right="779" w:firstLine="438"/>
        <w:spacing w:after="0" w:line="261" w:lineRule="auto"/>
        <w:rPr>
          <w:sz w:val="20"/>
          <w:szCs w:val="20"/>
          <w:color w:val="auto"/>
        </w:rPr>
      </w:pPr>
      <w:r>
        <w:rPr>
          <w:rFonts w:ascii="Arial" w:cs="Arial" w:eastAsia="Arial" w:hAnsi="Arial"/>
          <w:sz w:val="14"/>
          <w:szCs w:val="14"/>
          <w:color w:val="auto"/>
        </w:rPr>
        <w:t>For information regarding the employment agreements with our named executive officers, see the sections of this prospectus titled “</w:t>
      </w:r>
      <w:r>
        <w:rPr>
          <w:rFonts w:ascii="Arial" w:cs="Arial" w:eastAsia="Arial" w:hAnsi="Arial"/>
          <w:sz w:val="14"/>
          <w:szCs w:val="14"/>
          <w:i w:val="1"/>
          <w:iCs w:val="1"/>
          <w:color w:val="auto"/>
        </w:rPr>
        <w:t>Executive Compensation—Employment Arrangements</w:t>
      </w:r>
      <w:r>
        <w:rPr>
          <w:rFonts w:ascii="Arial" w:cs="Arial" w:eastAsia="Arial" w:hAnsi="Arial"/>
          <w:sz w:val="14"/>
          <w:szCs w:val="14"/>
          <w:color w:val="auto"/>
        </w:rPr>
        <w:t>” and “</w:t>
      </w:r>
      <w:r>
        <w:rPr>
          <w:rFonts w:ascii="Arial" w:cs="Arial" w:eastAsia="Arial" w:hAnsi="Arial"/>
          <w:sz w:val="14"/>
          <w:szCs w:val="14"/>
          <w:i w:val="1"/>
          <w:iCs w:val="1"/>
          <w:color w:val="auto"/>
        </w:rPr>
        <w:t>Executive Compensation—Potential</w:t>
      </w:r>
      <w:r>
        <w:rPr>
          <w:rFonts w:ascii="Arial" w:cs="Arial" w:eastAsia="Arial" w:hAnsi="Arial"/>
          <w:sz w:val="14"/>
          <w:szCs w:val="14"/>
          <w:color w:val="auto"/>
        </w:rPr>
        <w:t xml:space="preserve"> </w:t>
      </w:r>
      <w:r>
        <w:rPr>
          <w:rFonts w:ascii="Arial" w:cs="Arial" w:eastAsia="Arial" w:hAnsi="Arial"/>
          <w:sz w:val="14"/>
          <w:szCs w:val="14"/>
          <w:i w:val="1"/>
          <w:iCs w:val="1"/>
          <w:color w:val="auto"/>
        </w:rPr>
        <w:t>Payments Upon Termination or Change in Control</w:t>
      </w:r>
      <w:r>
        <w:rPr>
          <w:rFonts w:ascii="Arial" w:cs="Arial" w:eastAsia="Arial" w:hAnsi="Arial"/>
          <w:sz w:val="14"/>
          <w:szCs w:val="14"/>
          <w:color w:val="auto"/>
        </w:rPr>
        <w: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Equity Grants</w:t>
      </w:r>
    </w:p>
    <w:p>
      <w:pPr>
        <w:spacing w:after="0" w:line="86" w:lineRule="exact"/>
        <w:rPr>
          <w:sz w:val="20"/>
          <w:szCs w:val="20"/>
          <w:color w:val="auto"/>
        </w:rPr>
      </w:pPr>
    </w:p>
    <w:p>
      <w:pPr>
        <w:ind w:left="640" w:right="819" w:firstLine="438"/>
        <w:spacing w:after="0" w:line="261" w:lineRule="auto"/>
        <w:rPr>
          <w:sz w:val="20"/>
          <w:szCs w:val="20"/>
          <w:color w:val="auto"/>
        </w:rPr>
      </w:pPr>
      <w:r>
        <w:rPr>
          <w:rFonts w:ascii="Arial" w:cs="Arial" w:eastAsia="Arial" w:hAnsi="Arial"/>
          <w:sz w:val="14"/>
          <w:szCs w:val="14"/>
          <w:color w:val="auto"/>
        </w:rPr>
        <w:t>We have granted options to purchase shares of our common stock to certain of our executive officers and directors. For more information regarding the options granted to our executive officers and directors, see the sections of this prospectus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xml:space="preserve"> and </w:t>
      </w:r>
      <w:r>
        <w:rPr>
          <w:rFonts w:ascii="Arial" w:cs="Arial" w:eastAsia="Arial" w:hAnsi="Arial"/>
          <w:sz w:val="14"/>
          <w:szCs w:val="14"/>
          <w:i w:val="1"/>
          <w:iCs w:val="1"/>
          <w:color w:val="auto"/>
        </w:rPr>
        <w:t>“Management—Non-Employee Director Compensation</w:t>
      </w:r>
      <w:r>
        <w:rPr>
          <w:rFonts w:ascii="Arial" w:cs="Arial" w:eastAsia="Arial" w:hAnsi="Arial"/>
          <w:sz w:val="14"/>
          <w:szCs w:val="14"/>
          <w:color w:val="auto"/>
        </w:rPr>
        <w: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Indemnification Agreements</w:t>
      </w:r>
    </w:p>
    <w:p>
      <w:pPr>
        <w:spacing w:after="0" w:line="86" w:lineRule="exact"/>
        <w:rPr>
          <w:sz w:val="20"/>
          <w:szCs w:val="20"/>
          <w:color w:val="auto"/>
        </w:rPr>
      </w:pPr>
    </w:p>
    <w:p>
      <w:pPr>
        <w:ind w:left="640" w:right="679" w:firstLine="438"/>
        <w:spacing w:after="0" w:line="248" w:lineRule="auto"/>
        <w:rPr>
          <w:sz w:val="20"/>
          <w:szCs w:val="20"/>
          <w:color w:val="auto"/>
        </w:rPr>
      </w:pPr>
      <w:r>
        <w:rPr>
          <w:rFonts w:ascii="Arial" w:cs="Arial" w:eastAsia="Arial" w:hAnsi="Arial"/>
          <w:sz w:val="14"/>
          <w:szCs w:val="14"/>
          <w:color w:val="auto"/>
        </w:rPr>
        <w:t>We have entered into indemnification agreements with certain of our current directors and executive officers and we intend to enter into indemnification agreements with each of our directors and executive officers in connection with this offering. The indemnification agreements to be in effect upon the closing of this offering, and our Bylaws to be in effect immediately prior to the closing of this offering, require us to indemnify our directors and executive officers to the fullest extent permitted by Delaware law. For more information regarding these agreements, see the section of this prospectus titled “</w:t>
      </w:r>
      <w:r>
        <w:rPr>
          <w:rFonts w:ascii="Arial" w:cs="Arial" w:eastAsia="Arial" w:hAnsi="Arial"/>
          <w:sz w:val="14"/>
          <w:szCs w:val="14"/>
          <w:i w:val="1"/>
          <w:iCs w:val="1"/>
          <w:color w:val="auto"/>
        </w:rPr>
        <w:t>Executive Compensation—Limitations on Liability and Indemnification</w:t>
      </w:r>
      <w:r>
        <w:rPr>
          <w:rFonts w:ascii="Arial" w:cs="Arial" w:eastAsia="Arial" w:hAnsi="Arial"/>
          <w:sz w:val="14"/>
          <w:szCs w:val="14"/>
          <w:color w:val="auto"/>
        </w:rPr>
        <w: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Related Person Transaction Policy</w:t>
      </w:r>
    </w:p>
    <w:p>
      <w:pPr>
        <w:spacing w:after="0" w:line="86" w:lineRule="exact"/>
        <w:rPr>
          <w:sz w:val="20"/>
          <w:szCs w:val="20"/>
          <w:color w:val="auto"/>
        </w:rPr>
      </w:pPr>
    </w:p>
    <w:p>
      <w:pPr>
        <w:ind w:left="640" w:right="739" w:firstLine="438"/>
        <w:spacing w:after="0" w:line="244" w:lineRule="auto"/>
        <w:rPr>
          <w:sz w:val="20"/>
          <w:szCs w:val="20"/>
          <w:color w:val="auto"/>
        </w:rPr>
      </w:pPr>
      <w:r>
        <w:rPr>
          <w:rFonts w:ascii="Arial" w:cs="Arial" w:eastAsia="Arial" w:hAnsi="Arial"/>
          <w:sz w:val="14"/>
          <w:szCs w:val="14"/>
          <w:color w:val="auto"/>
        </w:rPr>
        <w:t>Prior to this offering, we did not have a formal policy regarding approval of transactions with related parties. In connection with this offering, we anticipate adopting a written related person transaction policy that sets forth our procedures for the identification, review, consideration and approval or ratification of related person transactions. The policy will become effective upon the closing of this offering. For purposes of our policy only, a related person transaction is a transaction, arrangement or relationship, or any series of similar transactions, arrangements or relationships in which</w:t>
      </w:r>
    </w:p>
    <w:p>
      <w:pPr>
        <w:spacing w:after="0" w:line="1" w:lineRule="exact"/>
        <w:rPr>
          <w:sz w:val="20"/>
          <w:szCs w:val="20"/>
          <w:color w:val="auto"/>
        </w:rPr>
      </w:pPr>
    </w:p>
    <w:p>
      <w:pPr>
        <w:ind w:left="640" w:right="679" w:hanging="2"/>
        <w:spacing w:after="0" w:line="243" w:lineRule="auto"/>
        <w:tabs>
          <w:tab w:leader="none" w:pos="8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we are, were or will be a participant, (ii) any related person has, had or will have a direct or indirect material interest and (iii) in which the amount involved exceeded or will exceed, so long as we qualify as a smaller reporting company, the lesser of $120,000 or 1% of the average of our total assets as of the end of the two prior fiscal years, or, once we no longer qualify as a smaller reporting company, $120,000. Transactions involving compensation for services provided to us as an executive officer or director are not covered by this policy. A related person is any officer, director (or nominee to become a director) or beneficial owner of more than 5% of any class of our voting securities, including any of their immediate family members.</w:t>
      </w:r>
    </w:p>
    <w:p>
      <w:pPr>
        <w:spacing w:after="0" w:line="221" w:lineRule="exact"/>
        <w:rPr>
          <w:sz w:val="20"/>
          <w:szCs w:val="20"/>
          <w:color w:val="auto"/>
        </w:rPr>
      </w:pPr>
    </w:p>
    <w:p>
      <w:pPr>
        <w:ind w:left="640" w:right="859" w:firstLine="438"/>
        <w:spacing w:after="0" w:line="282" w:lineRule="auto"/>
        <w:rPr>
          <w:sz w:val="20"/>
          <w:szCs w:val="20"/>
          <w:color w:val="auto"/>
        </w:rPr>
      </w:pPr>
      <w:r>
        <w:rPr>
          <w:rFonts w:ascii="Arial" w:cs="Arial" w:eastAsia="Arial" w:hAnsi="Arial"/>
          <w:sz w:val="14"/>
          <w:szCs w:val="14"/>
          <w:color w:val="auto"/>
        </w:rPr>
        <w:t>All of the transactions described above were entered into prior to the adoption of the written related person transaction policy, but all were approved by our board of directors considering similar factors to those described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2" w:name="page213"/>
    <w:bookmarkEnd w:id="21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PRINCIPAL STOCKHOLDERS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 xml:space="preserve">The following table sets forth information with respect to the beneficial ownership of our common stock as of       </w:t>
      </w:r>
    </w:p>
    <w:p>
      <w:pPr>
        <w:spacing w:after="0" w:line="14" w:lineRule="exact"/>
        <w:rPr>
          <w:sz w:val="20"/>
          <w:szCs w:val="20"/>
          <w:color w:val="auto"/>
        </w:rPr>
      </w:pPr>
    </w:p>
    <w:p>
      <w:pPr>
        <w:ind w:left="720" w:hanging="82"/>
        <w:spacing w:after="0"/>
        <w:tabs>
          <w:tab w:leader="none" w:pos="7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2026, for:</w:t>
      </w:r>
    </w:p>
    <w:p>
      <w:pPr>
        <w:spacing w:after="0" w:line="72" w:lineRule="exact"/>
        <w:rPr>
          <w:rFonts w:ascii="Arial" w:cs="Arial" w:eastAsia="Arial" w:hAnsi="Arial"/>
          <w:sz w:val="14"/>
          <w:szCs w:val="14"/>
          <w:color w:val="auto"/>
        </w:rPr>
      </w:pPr>
    </w:p>
    <w:p>
      <w:pPr>
        <w:ind w:left="1260" w:hanging="179"/>
        <w:spacing w:after="0"/>
        <w:tabs>
          <w:tab w:leader="none" w:pos="1260" w:val="left"/>
        </w:tabs>
        <w:numPr>
          <w:ilvl w:val="1"/>
          <w:numId w:val="92"/>
        </w:numPr>
        <w:rPr>
          <w:rFonts w:ascii="Times New Roman" w:cs="Times New Roman" w:eastAsia="Times New Roman" w:hAnsi="Times New Roman"/>
          <w:sz w:val="14"/>
          <w:szCs w:val="14"/>
          <w:color w:val="auto"/>
        </w:rPr>
      </w:pPr>
      <w:r>
        <w:rPr>
          <w:rFonts w:ascii="Arial" w:cs="Arial" w:eastAsia="Arial" w:hAnsi="Arial"/>
          <w:sz w:val="14"/>
          <w:szCs w:val="14"/>
          <w:color w:val="auto"/>
        </w:rPr>
        <w:t>each of our named executive officers;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1"/>
          <w:numId w:val="92"/>
        </w:numPr>
        <w:rPr>
          <w:rFonts w:ascii="Times New Roman" w:cs="Times New Roman" w:eastAsia="Times New Roman" w:hAnsi="Times New Roman"/>
          <w:sz w:val="14"/>
          <w:szCs w:val="14"/>
          <w:color w:val="auto"/>
        </w:rPr>
      </w:pPr>
      <w:r>
        <w:rPr>
          <w:rFonts w:ascii="Arial" w:cs="Arial" w:eastAsia="Arial" w:hAnsi="Arial"/>
          <w:sz w:val="14"/>
          <w:szCs w:val="14"/>
          <w:color w:val="auto"/>
        </w:rPr>
        <w:t>each of our directors;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1"/>
          <w:numId w:val="92"/>
        </w:numPr>
        <w:rPr>
          <w:rFonts w:ascii="Times New Roman" w:cs="Times New Roman" w:eastAsia="Times New Roman" w:hAnsi="Times New Roman"/>
          <w:sz w:val="14"/>
          <w:szCs w:val="14"/>
          <w:color w:val="auto"/>
        </w:rPr>
      </w:pPr>
      <w:r>
        <w:rPr>
          <w:rFonts w:ascii="Arial" w:cs="Arial" w:eastAsia="Arial" w:hAnsi="Arial"/>
          <w:sz w:val="14"/>
          <w:szCs w:val="14"/>
          <w:color w:val="auto"/>
        </w:rPr>
        <w:t>all of our current directors and executive officers as a group; and</w:t>
      </w:r>
    </w:p>
    <w:p>
      <w:pPr>
        <w:spacing w:after="0" w:line="96" w:lineRule="exact"/>
        <w:rPr>
          <w:rFonts w:ascii="Times New Roman" w:cs="Times New Roman" w:eastAsia="Times New Roman" w:hAnsi="Times New Roman"/>
          <w:sz w:val="14"/>
          <w:szCs w:val="14"/>
          <w:color w:val="auto"/>
        </w:rPr>
      </w:pPr>
    </w:p>
    <w:p>
      <w:pPr>
        <w:ind w:left="1260" w:right="1039" w:hanging="179"/>
        <w:spacing w:after="0" w:line="281" w:lineRule="auto"/>
        <w:tabs>
          <w:tab w:leader="none" w:pos="1260" w:val="left"/>
        </w:tabs>
        <w:numPr>
          <w:ilvl w:val="1"/>
          <w:numId w:val="92"/>
        </w:numPr>
        <w:rPr>
          <w:rFonts w:ascii="Times New Roman" w:cs="Times New Roman" w:eastAsia="Times New Roman" w:hAnsi="Times New Roman"/>
          <w:sz w:val="14"/>
          <w:szCs w:val="14"/>
          <w:color w:val="auto"/>
        </w:rPr>
      </w:pPr>
      <w:r>
        <w:rPr>
          <w:rFonts w:ascii="Arial" w:cs="Arial" w:eastAsia="Arial" w:hAnsi="Arial"/>
          <w:sz w:val="14"/>
          <w:szCs w:val="14"/>
          <w:color w:val="auto"/>
        </w:rPr>
        <w:t>each person, or group of affiliated persons, known by us to be the beneficial owner of more than 5% of our outstanding shares of common stock.</w:t>
      </w:r>
    </w:p>
    <w:p>
      <w:pPr>
        <w:spacing w:after="0" w:line="30" w:lineRule="exact"/>
        <w:rPr>
          <w:sz w:val="20"/>
          <w:szCs w:val="20"/>
          <w:color w:val="auto"/>
        </w:rPr>
      </w:pPr>
    </w:p>
    <w:p>
      <w:pPr>
        <w:ind w:left="640" w:right="799" w:firstLine="443"/>
        <w:spacing w:after="0" w:line="247" w:lineRule="auto"/>
        <w:rPr>
          <w:sz w:val="20"/>
          <w:szCs w:val="20"/>
          <w:color w:val="auto"/>
        </w:rPr>
      </w:pPr>
      <w:r>
        <w:rPr>
          <w:rFonts w:ascii="Arial" w:cs="Arial" w:eastAsia="Arial" w:hAnsi="Arial"/>
          <w:sz w:val="14"/>
          <w:szCs w:val="14"/>
          <w:color w:val="auto"/>
        </w:rPr>
        <w:t>We have determined beneficial ownership in accordance with the rules of the SEC, which generally means that a person has beneficial ownership of a security if he or she possesses sole or shared voting or investment power of that security, including options that are currently exercisable or are exercisable within 60 days of         , 2026.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Securities Act.</w:t>
      </w:r>
    </w:p>
    <w:p>
      <w:pPr>
        <w:spacing w:after="0" w:line="54" w:lineRule="exact"/>
        <w:rPr>
          <w:sz w:val="20"/>
          <w:szCs w:val="20"/>
          <w:color w:val="auto"/>
        </w:rPr>
      </w:pPr>
    </w:p>
    <w:p>
      <w:pPr>
        <w:ind w:left="1080"/>
        <w:spacing w:after="0"/>
        <w:tabs>
          <w:tab w:leader="none" w:pos="7680" w:val="left"/>
        </w:tabs>
        <w:rPr>
          <w:sz w:val="20"/>
          <w:szCs w:val="20"/>
          <w:color w:val="auto"/>
        </w:rPr>
      </w:pPr>
      <w:r>
        <w:rPr>
          <w:rFonts w:ascii="Arial" w:cs="Arial" w:eastAsia="Arial" w:hAnsi="Arial"/>
          <w:sz w:val="14"/>
          <w:szCs w:val="14"/>
          <w:color w:val="auto"/>
        </w:rPr>
        <w:t>We have based our calculation of the percentage of beneficial ownership prior to this offering on</w:t>
      </w:r>
      <w:r>
        <w:rPr>
          <w:sz w:val="20"/>
          <w:szCs w:val="20"/>
          <w:color w:val="auto"/>
        </w:rPr>
        <w:tab/>
      </w:r>
      <w:r>
        <w:rPr>
          <w:rFonts w:ascii="Arial" w:cs="Arial" w:eastAsia="Arial" w:hAnsi="Arial"/>
          <w:sz w:val="14"/>
          <w:szCs w:val="14"/>
          <w:color w:val="auto"/>
        </w:rPr>
        <w:t>shares of</w:t>
      </w:r>
    </w:p>
    <w:p>
      <w:pPr>
        <w:spacing w:after="0" w:line="14" w:lineRule="exact"/>
        <w:rPr>
          <w:sz w:val="20"/>
          <w:szCs w:val="20"/>
          <w:color w:val="auto"/>
        </w:rPr>
      </w:pPr>
    </w:p>
    <w:p>
      <w:pPr>
        <w:ind w:left="640"/>
        <w:spacing w:after="0"/>
        <w:tabs>
          <w:tab w:leader="none" w:pos="5120" w:val="left"/>
        </w:tabs>
        <w:rPr>
          <w:sz w:val="20"/>
          <w:szCs w:val="20"/>
          <w:color w:val="auto"/>
        </w:rPr>
      </w:pPr>
      <w:r>
        <w:rPr>
          <w:rFonts w:ascii="Arial" w:cs="Arial" w:eastAsia="Arial" w:hAnsi="Arial"/>
          <w:sz w:val="14"/>
          <w:szCs w:val="14"/>
          <w:color w:val="auto"/>
        </w:rPr>
        <w:t>our common stock outstanding as of             , 2026, including</w:t>
      </w:r>
      <w:r>
        <w:rPr>
          <w:sz w:val="20"/>
          <w:szCs w:val="20"/>
          <w:color w:val="auto"/>
        </w:rPr>
        <w:tab/>
      </w:r>
      <w:r>
        <w:rPr>
          <w:rFonts w:ascii="Arial" w:cs="Arial" w:eastAsia="Arial" w:hAnsi="Arial"/>
          <w:sz w:val="14"/>
          <w:szCs w:val="14"/>
          <w:color w:val="auto"/>
        </w:rPr>
        <w:t>shares of unvested restricted common stock, after</w:t>
      </w:r>
    </w:p>
    <w:p>
      <w:pPr>
        <w:ind w:left="640" w:right="779"/>
        <w:spacing w:after="0"/>
        <w:rPr>
          <w:sz w:val="20"/>
          <w:szCs w:val="20"/>
          <w:color w:val="auto"/>
        </w:rPr>
      </w:pPr>
      <w:r>
        <w:rPr>
          <w:rFonts w:ascii="Arial" w:cs="Arial" w:eastAsia="Arial" w:hAnsi="Arial"/>
          <w:sz w:val="14"/>
          <w:szCs w:val="14"/>
          <w:color w:val="auto"/>
        </w:rPr>
        <w:t>giving effect to (i) the conversion of all outstanding shares of our convertible preferred stock into an aggregate of shares of our common stock, (ii) the automatic exercise of the Common Stock Warrants, on a net exercise basis, into an</w:t>
      </w:r>
    </w:p>
    <w:p>
      <w:pPr>
        <w:ind w:left="640"/>
        <w:spacing w:after="0"/>
        <w:tabs>
          <w:tab w:leader="none" w:pos="1980" w:val="left"/>
        </w:tabs>
        <w:rPr>
          <w:sz w:val="20"/>
          <w:szCs w:val="20"/>
          <w:color w:val="auto"/>
        </w:rPr>
      </w:pPr>
      <w:r>
        <w:rPr>
          <w:rFonts w:ascii="Arial" w:cs="Arial" w:eastAsia="Arial" w:hAnsi="Arial"/>
          <w:sz w:val="14"/>
          <w:szCs w:val="14"/>
          <w:color w:val="auto"/>
        </w:rPr>
        <w:t>aggregate of</w:t>
      </w:r>
      <w:r>
        <w:rPr>
          <w:sz w:val="20"/>
          <w:szCs w:val="20"/>
          <w:color w:val="auto"/>
        </w:rPr>
        <w:tab/>
      </w:r>
      <w:r>
        <w:rPr>
          <w:rFonts w:ascii="Arial" w:cs="Arial" w:eastAsia="Arial" w:hAnsi="Arial"/>
          <w:sz w:val="14"/>
          <w:szCs w:val="14"/>
          <w:color w:val="auto"/>
        </w:rPr>
        <w:t>shares of our common stock immediately prior to the closing of this offering and (iii) the conversion</w:t>
      </w:r>
    </w:p>
    <w:p>
      <w:pPr>
        <w:ind w:left="640"/>
        <w:spacing w:after="0"/>
        <w:tabs>
          <w:tab w:leader="none" w:pos="3480" w:val="left"/>
        </w:tabs>
        <w:rPr>
          <w:sz w:val="20"/>
          <w:szCs w:val="20"/>
          <w:color w:val="auto"/>
        </w:rPr>
      </w:pPr>
      <w:r>
        <w:rPr>
          <w:rFonts w:ascii="Arial" w:cs="Arial" w:eastAsia="Arial" w:hAnsi="Arial"/>
          <w:sz w:val="14"/>
          <w:szCs w:val="14"/>
          <w:color w:val="auto"/>
        </w:rPr>
        <w:t>of our non-voting common stock into</w:t>
      </w:r>
      <w:r>
        <w:rPr>
          <w:sz w:val="20"/>
          <w:szCs w:val="20"/>
          <w:color w:val="auto"/>
        </w:rPr>
        <w:tab/>
      </w:r>
      <w:r>
        <w:rPr>
          <w:rFonts w:ascii="Arial" w:cs="Arial" w:eastAsia="Arial" w:hAnsi="Arial"/>
          <w:sz w:val="14"/>
          <w:szCs w:val="14"/>
          <w:color w:val="auto"/>
        </w:rPr>
        <w:t>shares of our common stock. We have based our calculation of the</w:t>
      </w:r>
    </w:p>
    <w:p>
      <w:pPr>
        <w:ind w:left="640" w:right="839"/>
        <w:spacing w:after="0" w:line="248" w:lineRule="auto"/>
        <w:rPr>
          <w:sz w:val="20"/>
          <w:szCs w:val="20"/>
          <w:color w:val="auto"/>
        </w:rPr>
      </w:pPr>
      <w:r>
        <w:rPr>
          <w:rFonts w:ascii="Arial" w:cs="Arial" w:eastAsia="Arial" w:hAnsi="Arial"/>
          <w:sz w:val="14"/>
          <w:szCs w:val="14"/>
          <w:color w:val="auto"/>
        </w:rPr>
        <w:t>percentage of beneficial ownership after this offering on         shares of our common stock outstanding immediately after the closing of this offering, which further reflects the issuance of         shares of common stock in this offering, assuming that the underwriters will not exercise their option to purchase up to an additional         shares of our common stock.</w:t>
      </w:r>
    </w:p>
    <w:p>
      <w:pPr>
        <w:spacing w:after="0" w:line="217" w:lineRule="exact"/>
        <w:rPr>
          <w:sz w:val="20"/>
          <w:szCs w:val="20"/>
          <w:color w:val="auto"/>
        </w:rPr>
      </w:pPr>
    </w:p>
    <w:p>
      <w:pPr>
        <w:ind w:left="640" w:right="1319" w:firstLine="443"/>
        <w:spacing w:after="0" w:line="282" w:lineRule="auto"/>
        <w:rPr>
          <w:sz w:val="20"/>
          <w:szCs w:val="20"/>
          <w:color w:val="auto"/>
        </w:rPr>
      </w:pPr>
      <w:r>
        <w:rPr>
          <w:rFonts w:ascii="Arial" w:cs="Arial" w:eastAsia="Arial" w:hAnsi="Arial"/>
          <w:sz w:val="14"/>
          <w:szCs w:val="14"/>
          <w:color w:val="auto"/>
        </w:rPr>
        <w:t>Unless otherwise indicated, the address of each beneficial owner listed in the table below is c/o Odyssey Therapeutics, Inc., 51 Sleeper Street, Suite 800, Boston, MA 02210.</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auto"/>
        </w:rPr>
        <w:t>Name of Beneficial Owner</w:t>
      </w:r>
    </w:p>
    <w:p>
      <w:pPr>
        <w:ind w:left="640"/>
        <w:spacing w:after="0" w:line="236" w:lineRule="auto"/>
        <w:rPr>
          <w:sz w:val="20"/>
          <w:szCs w:val="20"/>
          <w:color w:val="auto"/>
        </w:rPr>
      </w:pPr>
      <w:r>
        <w:rPr>
          <w:rFonts w:ascii="Arial" w:cs="Arial" w:eastAsia="Arial" w:hAnsi="Arial"/>
          <w:sz w:val="13"/>
          <w:szCs w:val="13"/>
          <w:b w:val="1"/>
          <w:bCs w:val="1"/>
          <w:i w:val="1"/>
          <w:iCs w:val="1"/>
          <w:color w:val="auto"/>
        </w:rPr>
        <w:t>5% and Greater Stockholders:</w:t>
      </w:r>
    </w:p>
    <w:p>
      <w:pPr>
        <w:ind w:left="640"/>
        <w:spacing w:after="0" w:line="229" w:lineRule="auto"/>
        <w:rPr>
          <w:sz w:val="20"/>
          <w:szCs w:val="20"/>
          <w:color w:val="auto"/>
        </w:rPr>
      </w:pPr>
      <w:r>
        <w:rPr>
          <w:rFonts w:ascii="Arial" w:cs="Arial" w:eastAsia="Arial" w:hAnsi="Arial"/>
          <w:sz w:val="13"/>
          <w:szCs w:val="13"/>
          <w:color w:val="auto"/>
        </w:rPr>
        <w:t>Entities affiliated with SR One Capital Management</w:t>
      </w:r>
      <w:r>
        <w:rPr>
          <w:rFonts w:ascii="Arial" w:cs="Arial" w:eastAsia="Arial" w:hAnsi="Arial"/>
          <w:sz w:val="17"/>
          <w:szCs w:val="17"/>
          <w:color w:val="auto"/>
          <w:vertAlign w:val="superscript"/>
        </w:rPr>
        <w:t>(1)</w:t>
      </w:r>
    </w:p>
    <w:p>
      <w:pPr>
        <w:ind w:left="640"/>
        <w:spacing w:after="0" w:line="189" w:lineRule="auto"/>
        <w:rPr>
          <w:sz w:val="20"/>
          <w:szCs w:val="20"/>
          <w:color w:val="auto"/>
        </w:rPr>
      </w:pPr>
      <w:r>
        <w:rPr>
          <w:rFonts w:ascii="Arial" w:cs="Arial" w:eastAsia="Arial" w:hAnsi="Arial"/>
          <w:sz w:val="11"/>
          <w:szCs w:val="11"/>
          <w:color w:val="auto"/>
        </w:rPr>
        <w:t>OrbiMed Private Investments VIII, LP</w:t>
      </w:r>
      <w:r>
        <w:rPr>
          <w:rFonts w:ascii="Arial" w:cs="Arial" w:eastAsia="Arial" w:hAnsi="Arial"/>
          <w:sz w:val="15"/>
          <w:szCs w:val="15"/>
          <w:color w:val="auto"/>
          <w:vertAlign w:val="superscript"/>
        </w:rPr>
        <w:t>(2)</w:t>
      </w:r>
    </w:p>
    <w:p>
      <w:pPr>
        <w:ind w:left="640"/>
        <w:spacing w:after="0" w:line="197" w:lineRule="auto"/>
        <w:rPr>
          <w:sz w:val="20"/>
          <w:szCs w:val="20"/>
          <w:color w:val="auto"/>
        </w:rPr>
      </w:pPr>
      <w:r>
        <w:rPr>
          <w:rFonts w:ascii="Arial" w:cs="Arial" w:eastAsia="Arial" w:hAnsi="Arial"/>
          <w:sz w:val="13"/>
          <w:szCs w:val="13"/>
          <w:color w:val="auto"/>
        </w:rPr>
        <w:t>Dimension Capital II, L.P.</w:t>
      </w:r>
      <w:r>
        <w:rPr>
          <w:rFonts w:ascii="Arial" w:cs="Arial" w:eastAsia="Arial" w:hAnsi="Arial"/>
          <w:sz w:val="17"/>
          <w:szCs w:val="17"/>
          <w:color w:val="auto"/>
          <w:vertAlign w:val="superscript"/>
        </w:rPr>
        <w:t>(3)</w:t>
      </w:r>
      <w:r>
        <w:rPr>
          <w:rFonts w:ascii="Arial" w:cs="Arial" w:eastAsia="Arial" w:hAnsi="Arial"/>
          <w:sz w:val="13"/>
          <w:szCs w:val="13"/>
          <w:color w:val="auto"/>
        </w:rPr>
        <w:t>.</w:t>
      </w:r>
    </w:p>
    <w:p>
      <w:pPr>
        <w:ind w:left="640"/>
        <w:spacing w:after="0" w:line="198" w:lineRule="auto"/>
        <w:rPr>
          <w:sz w:val="20"/>
          <w:szCs w:val="20"/>
          <w:color w:val="auto"/>
        </w:rPr>
      </w:pPr>
      <w:r>
        <w:rPr>
          <w:rFonts w:ascii="Arial" w:cs="Arial" w:eastAsia="Arial" w:hAnsi="Arial"/>
          <w:sz w:val="13"/>
          <w:szCs w:val="13"/>
          <w:color w:val="auto"/>
        </w:rPr>
        <w:t>FMR LLC</w:t>
      </w:r>
      <w:r>
        <w:rPr>
          <w:rFonts w:ascii="Arial" w:cs="Arial" w:eastAsia="Arial" w:hAnsi="Arial"/>
          <w:sz w:val="17"/>
          <w:szCs w:val="17"/>
          <w:color w:val="auto"/>
          <w:vertAlign w:val="superscript"/>
        </w:rPr>
        <w:t>(4)</w:t>
      </w:r>
    </w:p>
    <w:p>
      <w:pPr>
        <w:ind w:left="640"/>
        <w:spacing w:after="0" w:line="198" w:lineRule="auto"/>
        <w:rPr>
          <w:sz w:val="20"/>
          <w:szCs w:val="20"/>
          <w:color w:val="auto"/>
        </w:rPr>
      </w:pPr>
      <w:r>
        <w:rPr>
          <w:rFonts w:ascii="Arial" w:cs="Arial" w:eastAsia="Arial" w:hAnsi="Arial"/>
          <w:sz w:val="13"/>
          <w:szCs w:val="13"/>
          <w:color w:val="auto"/>
        </w:rPr>
        <w:t>Jeito II S.L.P.</w:t>
      </w:r>
      <w:r>
        <w:rPr>
          <w:rFonts w:ascii="Arial" w:cs="Arial" w:eastAsia="Arial" w:hAnsi="Arial"/>
          <w:sz w:val="17"/>
          <w:szCs w:val="17"/>
          <w:color w:val="auto"/>
          <w:vertAlign w:val="superscript"/>
        </w:rPr>
        <w:t>(5)</w:t>
      </w:r>
      <w:r>
        <w:rPr>
          <w:rFonts w:ascii="Arial" w:cs="Arial" w:eastAsia="Arial" w:hAnsi="Arial"/>
          <w:sz w:val="13"/>
          <w:szCs w:val="13"/>
          <w:color w:val="auto"/>
        </w:rPr>
        <w:t>.</w:t>
      </w:r>
    </w:p>
    <w:p>
      <w:pPr>
        <w:ind w:left="640"/>
        <w:spacing w:after="0" w:line="198" w:lineRule="auto"/>
        <w:rPr>
          <w:sz w:val="20"/>
          <w:szCs w:val="20"/>
          <w:color w:val="auto"/>
        </w:rPr>
      </w:pPr>
      <w:r>
        <w:rPr>
          <w:rFonts w:ascii="Arial" w:cs="Arial" w:eastAsia="Arial" w:hAnsi="Arial"/>
          <w:sz w:val="13"/>
          <w:szCs w:val="13"/>
          <w:color w:val="auto"/>
        </w:rPr>
        <w:t>TPG LSI Rise Orazio, L.P.</w:t>
      </w:r>
      <w:r>
        <w:rPr>
          <w:rFonts w:ascii="Arial" w:cs="Arial" w:eastAsia="Arial" w:hAnsi="Arial"/>
          <w:sz w:val="17"/>
          <w:szCs w:val="17"/>
          <w:color w:val="auto"/>
          <w:vertAlign w:val="superscript"/>
        </w:rPr>
        <w:t>(6)</w:t>
      </w:r>
      <w:r>
        <w:rPr>
          <w:rFonts w:ascii="Arial" w:cs="Arial" w:eastAsia="Arial" w:hAnsi="Arial"/>
          <w:sz w:val="13"/>
          <w:szCs w:val="13"/>
          <w:color w:val="auto"/>
        </w:rPr>
        <w:t>.</w:t>
      </w:r>
    </w:p>
    <w:p>
      <w:pPr>
        <w:ind w:left="640"/>
        <w:spacing w:after="0" w:line="229" w:lineRule="auto"/>
        <w:rPr>
          <w:sz w:val="20"/>
          <w:szCs w:val="20"/>
          <w:color w:val="auto"/>
        </w:rPr>
      </w:pPr>
      <w:r>
        <w:rPr>
          <w:rFonts w:ascii="Arial" w:cs="Arial" w:eastAsia="Arial" w:hAnsi="Arial"/>
          <w:sz w:val="13"/>
          <w:szCs w:val="13"/>
          <w:color w:val="auto"/>
        </w:rPr>
        <w:t>Lightspeed Venture Partners XV-B (Ignite), L.P.</w:t>
      </w:r>
      <w:r>
        <w:rPr>
          <w:rFonts w:ascii="Arial" w:cs="Arial" w:eastAsia="Arial" w:hAnsi="Arial"/>
          <w:sz w:val="17"/>
          <w:szCs w:val="17"/>
          <w:color w:val="auto"/>
          <w:vertAlign w:val="superscript"/>
        </w:rPr>
        <w:t>(7)</w:t>
      </w:r>
      <w:r>
        <w:rPr>
          <w:rFonts w:ascii="Arial" w:cs="Arial" w:eastAsia="Arial" w:hAnsi="Arial"/>
          <w:sz w:val="13"/>
          <w:szCs w:val="13"/>
          <w:color w:val="auto"/>
        </w:rPr>
        <w:t>.</w:t>
      </w:r>
    </w:p>
    <w:p>
      <w:pPr>
        <w:ind w:left="640"/>
        <w:spacing w:after="0" w:line="218" w:lineRule="auto"/>
        <w:rPr>
          <w:sz w:val="20"/>
          <w:szCs w:val="20"/>
          <w:color w:val="auto"/>
        </w:rPr>
      </w:pPr>
      <w:r>
        <w:rPr>
          <w:rFonts w:ascii="Arial" w:cs="Arial" w:eastAsia="Arial" w:hAnsi="Arial"/>
          <w:sz w:val="13"/>
          <w:szCs w:val="13"/>
          <w:b w:val="1"/>
          <w:bCs w:val="1"/>
          <w:i w:val="1"/>
          <w:iCs w:val="1"/>
          <w:color w:val="auto"/>
        </w:rPr>
        <w:t>Named Executive Officers and Directors:</w:t>
      </w:r>
    </w:p>
    <w:p>
      <w:pPr>
        <w:ind w:left="640"/>
        <w:spacing w:after="0" w:line="197" w:lineRule="auto"/>
        <w:rPr>
          <w:sz w:val="20"/>
          <w:szCs w:val="20"/>
          <w:color w:val="auto"/>
        </w:rPr>
      </w:pPr>
      <w:r>
        <w:rPr>
          <w:rFonts w:ascii="Arial" w:cs="Arial" w:eastAsia="Arial" w:hAnsi="Arial"/>
          <w:sz w:val="13"/>
          <w:szCs w:val="13"/>
          <w:color w:val="auto"/>
        </w:rPr>
        <w:t>Gary D. Glick, Ph.D.</w:t>
      </w:r>
      <w:r>
        <w:rPr>
          <w:rFonts w:ascii="Arial" w:cs="Arial" w:eastAsia="Arial" w:hAnsi="Arial"/>
          <w:sz w:val="17"/>
          <w:szCs w:val="17"/>
          <w:color w:val="auto"/>
          <w:vertAlign w:val="superscript"/>
        </w:rPr>
        <w:t>(8)</w:t>
      </w:r>
      <w:r>
        <w:rPr>
          <w:rFonts w:ascii="Arial" w:cs="Arial" w:eastAsia="Arial" w:hAnsi="Arial"/>
          <w:sz w:val="13"/>
          <w:szCs w:val="13"/>
          <w:color w:val="auto"/>
        </w:rPr>
        <w:t>.</w:t>
      </w:r>
    </w:p>
    <w:p>
      <w:pPr>
        <w:ind w:left="640"/>
        <w:spacing w:after="0" w:line="198" w:lineRule="auto"/>
        <w:rPr>
          <w:sz w:val="20"/>
          <w:szCs w:val="20"/>
          <w:color w:val="auto"/>
        </w:rPr>
      </w:pPr>
      <w:r>
        <w:rPr>
          <w:rFonts w:ascii="Arial" w:cs="Arial" w:eastAsia="Arial" w:hAnsi="Arial"/>
          <w:sz w:val="13"/>
          <w:szCs w:val="13"/>
          <w:color w:val="auto"/>
        </w:rPr>
        <w:t>Jason Haas</w:t>
      </w:r>
      <w:r>
        <w:rPr>
          <w:rFonts w:ascii="Arial" w:cs="Arial" w:eastAsia="Arial" w:hAnsi="Arial"/>
          <w:sz w:val="17"/>
          <w:szCs w:val="17"/>
          <w:color w:val="auto"/>
          <w:vertAlign w:val="superscript"/>
        </w:rPr>
        <w:t>(9)</w:t>
      </w:r>
    </w:p>
    <w:p>
      <w:pPr>
        <w:ind w:left="640"/>
        <w:spacing w:after="0" w:line="198" w:lineRule="auto"/>
        <w:rPr>
          <w:sz w:val="20"/>
          <w:szCs w:val="20"/>
          <w:color w:val="auto"/>
        </w:rPr>
      </w:pPr>
      <w:r>
        <w:rPr>
          <w:rFonts w:ascii="Arial" w:cs="Arial" w:eastAsia="Arial" w:hAnsi="Arial"/>
          <w:sz w:val="13"/>
          <w:szCs w:val="13"/>
          <w:color w:val="auto"/>
        </w:rPr>
        <w:t>Collin Todd</w:t>
      </w:r>
      <w:r>
        <w:rPr>
          <w:rFonts w:ascii="Arial" w:cs="Arial" w:eastAsia="Arial" w:hAnsi="Arial"/>
          <w:sz w:val="17"/>
          <w:szCs w:val="17"/>
          <w:color w:val="auto"/>
          <w:vertAlign w:val="superscript"/>
        </w:rPr>
        <w:t>(10)</w:t>
      </w:r>
    </w:p>
    <w:p>
      <w:pPr>
        <w:ind w:left="640"/>
        <w:spacing w:after="0" w:line="230" w:lineRule="auto"/>
        <w:rPr>
          <w:sz w:val="20"/>
          <w:szCs w:val="20"/>
          <w:color w:val="auto"/>
        </w:rPr>
      </w:pPr>
      <w:r>
        <w:rPr>
          <w:rFonts w:ascii="Arial" w:cs="Arial" w:eastAsia="Arial" w:hAnsi="Arial"/>
          <w:sz w:val="13"/>
          <w:szCs w:val="13"/>
          <w:color w:val="auto"/>
        </w:rPr>
        <w:t>Jeffrey M. Leiden, M.D., Ph.D.</w:t>
      </w:r>
      <w:r>
        <w:rPr>
          <w:rFonts w:ascii="Arial" w:cs="Arial" w:eastAsia="Arial" w:hAnsi="Arial"/>
          <w:sz w:val="17"/>
          <w:szCs w:val="17"/>
          <w:color w:val="auto"/>
          <w:vertAlign w:val="superscript"/>
        </w:rPr>
        <w:t>(11)</w:t>
      </w:r>
      <w:r>
        <w:rPr>
          <w:rFonts w:ascii="Arial" w:cs="Arial" w:eastAsia="Arial" w:hAnsi="Arial"/>
          <w:sz w:val="13"/>
          <w:szCs w:val="13"/>
          <w:color w:val="auto"/>
        </w:rPr>
        <w:t>.</w:t>
      </w:r>
    </w:p>
    <w:p>
      <w:pPr>
        <w:ind w:left="640"/>
        <w:spacing w:after="0" w:line="192" w:lineRule="auto"/>
        <w:rPr>
          <w:sz w:val="20"/>
          <w:szCs w:val="20"/>
          <w:color w:val="auto"/>
        </w:rPr>
      </w:pPr>
      <w:r>
        <w:rPr>
          <w:rFonts w:ascii="Arial" w:cs="Arial" w:eastAsia="Arial" w:hAnsi="Arial"/>
          <w:sz w:val="13"/>
          <w:szCs w:val="13"/>
          <w:color w:val="auto"/>
        </w:rPr>
        <w:t>Shelley Chu, M.D., Ph.D.</w:t>
      </w:r>
      <w:r>
        <w:rPr>
          <w:rFonts w:ascii="Arial" w:cs="Arial" w:eastAsia="Arial" w:hAnsi="Arial"/>
          <w:sz w:val="17"/>
          <w:szCs w:val="17"/>
          <w:color w:val="auto"/>
          <w:vertAlign w:val="superscript"/>
        </w:rPr>
        <w:t>(12)</w:t>
      </w:r>
      <w:r>
        <w:rPr>
          <w:rFonts w:ascii="Arial" w:cs="Arial" w:eastAsia="Arial" w:hAnsi="Arial"/>
          <w:sz w:val="13"/>
          <w:szCs w:val="13"/>
          <w:color w:val="auto"/>
        </w:rPr>
        <w:t>.</w:t>
      </w:r>
    </w:p>
    <w:p>
      <w:pPr>
        <w:ind w:left="640"/>
        <w:spacing w:after="0" w:line="224" w:lineRule="auto"/>
        <w:rPr>
          <w:sz w:val="20"/>
          <w:szCs w:val="20"/>
          <w:color w:val="auto"/>
        </w:rPr>
      </w:pPr>
      <w:r>
        <w:rPr>
          <w:rFonts w:ascii="Arial" w:cs="Arial" w:eastAsia="Arial" w:hAnsi="Arial"/>
          <w:sz w:val="13"/>
          <w:szCs w:val="13"/>
          <w:color w:val="auto"/>
        </w:rPr>
        <w:t>Jill Carroll</w:t>
      </w:r>
    </w:p>
    <w:p>
      <w:pPr>
        <w:ind w:left="640"/>
        <w:spacing w:after="0" w:line="198" w:lineRule="auto"/>
        <w:rPr>
          <w:sz w:val="20"/>
          <w:szCs w:val="20"/>
          <w:color w:val="auto"/>
        </w:rPr>
      </w:pPr>
      <w:r>
        <w:rPr>
          <w:rFonts w:ascii="Arial" w:cs="Arial" w:eastAsia="Arial" w:hAnsi="Arial"/>
          <w:sz w:val="13"/>
          <w:szCs w:val="13"/>
          <w:color w:val="auto"/>
        </w:rPr>
        <w:t>Carl L. Gordon, Ph.D., CFA</w:t>
      </w:r>
      <w:r>
        <w:rPr>
          <w:rFonts w:ascii="Arial" w:cs="Arial" w:eastAsia="Arial" w:hAnsi="Arial"/>
          <w:sz w:val="17"/>
          <w:szCs w:val="17"/>
          <w:color w:val="auto"/>
          <w:vertAlign w:val="superscript"/>
        </w:rPr>
        <w:t>(13)</w:t>
      </w:r>
    </w:p>
    <w:p>
      <w:pPr>
        <w:ind w:left="640"/>
        <w:spacing w:after="0" w:line="198" w:lineRule="auto"/>
        <w:rPr>
          <w:sz w:val="20"/>
          <w:szCs w:val="20"/>
          <w:color w:val="auto"/>
        </w:rPr>
      </w:pPr>
      <w:r>
        <w:rPr>
          <w:rFonts w:ascii="Arial" w:cs="Arial" w:eastAsia="Arial" w:hAnsi="Arial"/>
          <w:sz w:val="13"/>
          <w:szCs w:val="13"/>
          <w:color w:val="auto"/>
        </w:rPr>
        <w:t>Paulina Hill, Ph.D.</w:t>
      </w:r>
      <w:r>
        <w:rPr>
          <w:rFonts w:ascii="Arial" w:cs="Arial" w:eastAsia="Arial" w:hAnsi="Arial"/>
          <w:sz w:val="17"/>
          <w:szCs w:val="17"/>
          <w:color w:val="auto"/>
          <w:vertAlign w:val="superscript"/>
        </w:rPr>
        <w:t>(14)</w:t>
      </w:r>
    </w:p>
    <w:p>
      <w:pPr>
        <w:ind w:left="640"/>
        <w:spacing w:after="0" w:line="197" w:lineRule="auto"/>
        <w:rPr>
          <w:sz w:val="20"/>
          <w:szCs w:val="20"/>
          <w:color w:val="auto"/>
        </w:rPr>
      </w:pPr>
      <w:r>
        <w:rPr>
          <w:rFonts w:ascii="Arial" w:cs="Arial" w:eastAsia="Arial" w:hAnsi="Arial"/>
          <w:sz w:val="13"/>
          <w:szCs w:val="13"/>
          <w:color w:val="auto"/>
        </w:rPr>
        <w:t>Nan Li</w:t>
      </w:r>
      <w:r>
        <w:rPr>
          <w:rFonts w:ascii="Arial" w:cs="Arial" w:eastAsia="Arial" w:hAnsi="Arial"/>
          <w:sz w:val="17"/>
          <w:szCs w:val="17"/>
          <w:color w:val="auto"/>
          <w:vertAlign w:val="superscript"/>
        </w:rPr>
        <w:t>(15)</w:t>
      </w:r>
    </w:p>
    <w:p>
      <w:pPr>
        <w:ind w:left="640"/>
        <w:spacing w:after="0" w:line="198" w:lineRule="auto"/>
        <w:rPr>
          <w:sz w:val="20"/>
          <w:szCs w:val="20"/>
          <w:color w:val="auto"/>
        </w:rPr>
      </w:pPr>
      <w:r>
        <w:rPr>
          <w:rFonts w:ascii="Arial" w:cs="Arial" w:eastAsia="Arial" w:hAnsi="Arial"/>
          <w:sz w:val="13"/>
          <w:szCs w:val="13"/>
          <w:color w:val="auto"/>
        </w:rPr>
        <w:t>Carolyn Ng, Ph.D.</w:t>
      </w:r>
      <w:r>
        <w:rPr>
          <w:rFonts w:ascii="Arial" w:cs="Arial" w:eastAsia="Arial" w:hAnsi="Arial"/>
          <w:sz w:val="17"/>
          <w:szCs w:val="17"/>
          <w:color w:val="auto"/>
          <w:vertAlign w:val="superscript"/>
        </w:rPr>
        <w:t>(16)</w:t>
      </w:r>
    </w:p>
    <w:p>
      <w:pPr>
        <w:ind w:left="640"/>
        <w:spacing w:after="0" w:line="198" w:lineRule="auto"/>
        <w:rPr>
          <w:sz w:val="20"/>
          <w:szCs w:val="20"/>
          <w:color w:val="auto"/>
        </w:rPr>
      </w:pPr>
      <w:r>
        <w:rPr>
          <w:rFonts w:ascii="Arial" w:cs="Arial" w:eastAsia="Arial" w:hAnsi="Arial"/>
          <w:sz w:val="13"/>
          <w:szCs w:val="13"/>
          <w:color w:val="auto"/>
        </w:rPr>
        <w:t>Valerie Odegard, Ph.D.</w:t>
      </w:r>
      <w:r>
        <w:rPr>
          <w:rFonts w:ascii="Arial" w:cs="Arial" w:eastAsia="Arial" w:hAnsi="Arial"/>
          <w:sz w:val="17"/>
          <w:szCs w:val="17"/>
          <w:color w:val="auto"/>
          <w:vertAlign w:val="superscript"/>
        </w:rPr>
        <w:t>(17)</w:t>
      </w:r>
    </w:p>
    <w:p>
      <w:pPr>
        <w:ind w:left="640"/>
        <w:spacing w:after="0" w:line="198" w:lineRule="auto"/>
        <w:rPr>
          <w:sz w:val="20"/>
          <w:szCs w:val="20"/>
          <w:color w:val="auto"/>
        </w:rPr>
      </w:pPr>
      <w:r>
        <w:rPr>
          <w:rFonts w:ascii="Arial" w:cs="Arial" w:eastAsia="Arial" w:hAnsi="Arial"/>
          <w:sz w:val="13"/>
          <w:szCs w:val="13"/>
          <w:color w:val="auto"/>
        </w:rPr>
        <w:t>Ian F. Smith</w:t>
      </w:r>
      <w:r>
        <w:rPr>
          <w:rFonts w:ascii="Arial" w:cs="Arial" w:eastAsia="Arial" w:hAnsi="Arial"/>
          <w:sz w:val="17"/>
          <w:szCs w:val="17"/>
          <w:color w:val="auto"/>
          <w:vertAlign w:val="superscript"/>
        </w:rPr>
        <w:t>(18)</w:t>
      </w:r>
    </w:p>
    <w:p>
      <w:pPr>
        <w:ind w:left="640"/>
        <w:spacing w:after="0" w:line="197" w:lineRule="auto"/>
        <w:rPr>
          <w:sz w:val="20"/>
          <w:szCs w:val="20"/>
          <w:color w:val="auto"/>
        </w:rPr>
      </w:pPr>
      <w:r>
        <w:rPr>
          <w:rFonts w:ascii="Arial" w:cs="Arial" w:eastAsia="Arial" w:hAnsi="Arial"/>
          <w:sz w:val="13"/>
          <w:szCs w:val="13"/>
          <w:color w:val="auto"/>
        </w:rPr>
        <w:t>Ksenija Pavletic</w:t>
      </w:r>
      <w:r>
        <w:rPr>
          <w:rFonts w:ascii="Arial" w:cs="Arial" w:eastAsia="Arial" w:hAnsi="Arial"/>
          <w:sz w:val="17"/>
          <w:szCs w:val="17"/>
          <w:color w:val="auto"/>
          <w:vertAlign w:val="superscript"/>
        </w:rPr>
        <w:t>(19)</w:t>
      </w:r>
    </w:p>
    <w:p>
      <w:pPr>
        <w:ind w:left="640"/>
        <w:spacing w:after="0" w:line="198" w:lineRule="auto"/>
        <w:rPr>
          <w:sz w:val="20"/>
          <w:szCs w:val="20"/>
          <w:color w:val="auto"/>
        </w:rPr>
      </w:pPr>
      <w:r>
        <w:rPr>
          <w:rFonts w:ascii="Arial" w:cs="Arial" w:eastAsia="Arial" w:hAnsi="Arial"/>
          <w:sz w:val="13"/>
          <w:szCs w:val="13"/>
          <w:color w:val="auto"/>
        </w:rPr>
        <w:t>Nia Tatsis, Ph.D.</w:t>
      </w:r>
      <w:r>
        <w:rPr>
          <w:rFonts w:ascii="Arial" w:cs="Arial" w:eastAsia="Arial" w:hAnsi="Arial"/>
          <w:sz w:val="17"/>
          <w:szCs w:val="17"/>
          <w:color w:val="auto"/>
          <w:vertAlign w:val="superscript"/>
        </w:rPr>
        <w:t>(20)</w:t>
      </w:r>
    </w:p>
    <w:p>
      <w:pPr>
        <w:ind w:left="640"/>
        <w:spacing w:after="0" w:line="230" w:lineRule="auto"/>
        <w:rPr>
          <w:sz w:val="20"/>
          <w:szCs w:val="20"/>
          <w:color w:val="auto"/>
        </w:rPr>
      </w:pPr>
      <w:r>
        <w:rPr>
          <w:rFonts w:ascii="Arial" w:cs="Arial" w:eastAsia="Arial" w:hAnsi="Arial"/>
          <w:sz w:val="13"/>
          <w:szCs w:val="13"/>
          <w:color w:val="auto"/>
        </w:rPr>
        <w:t>Timothy P. Walbert</w:t>
      </w:r>
      <w:r>
        <w:rPr>
          <w:rFonts w:ascii="Arial" w:cs="Arial" w:eastAsia="Arial" w:hAnsi="Arial"/>
          <w:sz w:val="17"/>
          <w:szCs w:val="17"/>
          <w:color w:val="auto"/>
          <w:vertAlign w:val="superscript"/>
        </w:rPr>
        <w:t>(21)</w:t>
      </w:r>
    </w:p>
    <w:p>
      <w:pPr>
        <w:ind w:left="640"/>
        <w:spacing w:after="0"/>
        <w:rPr>
          <w:sz w:val="20"/>
          <w:szCs w:val="20"/>
          <w:color w:val="auto"/>
        </w:rPr>
      </w:pPr>
      <w:r>
        <w:rPr>
          <w:rFonts w:ascii="Arial" w:cs="Arial" w:eastAsia="Arial" w:hAnsi="Arial"/>
          <w:sz w:val="12"/>
          <w:szCs w:val="12"/>
          <w:color w:val="auto"/>
        </w:rPr>
        <w:t>All executive officers and directors as a group (18 persons)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Pr>
          <w:p>
            <w:pPr>
              <w:spacing w:after="0"/>
              <w:rPr>
                <w:sz w:val="11"/>
                <w:szCs w:val="11"/>
                <w:color w:val="auto"/>
              </w:rPr>
            </w:pPr>
          </w:p>
        </w:tc>
        <w:tc>
          <w:tcPr>
            <w:tcW w:w="2080" w:type="dxa"/>
            <w:vAlign w:val="bottom"/>
            <w:gridSpan w:val="3"/>
          </w:tcPr>
          <w:p>
            <w:pPr>
              <w:jc w:val="center"/>
              <w:ind w:right="23"/>
              <w:spacing w:after="0"/>
              <w:rPr>
                <w:sz w:val="20"/>
                <w:szCs w:val="20"/>
                <w:color w:val="auto"/>
              </w:rPr>
            </w:pPr>
            <w:r>
              <w:rPr>
                <w:rFonts w:ascii="Arial" w:cs="Arial" w:eastAsia="Arial" w:hAnsi="Arial"/>
                <w:sz w:val="11"/>
                <w:szCs w:val="11"/>
                <w:b w:val="1"/>
                <w:bCs w:val="1"/>
                <w:color w:val="auto"/>
              </w:rPr>
              <w:t>Percentage of Shares</w:t>
            </w:r>
          </w:p>
        </w:tc>
      </w:tr>
      <w:tr>
        <w:trPr>
          <w:trHeight w:val="137"/>
        </w:trPr>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Beneficially</w:t>
            </w:r>
          </w:p>
        </w:tc>
        <w:tc>
          <w:tcPr>
            <w:tcW w:w="80" w:type="dxa"/>
            <w:vAlign w:val="bottom"/>
          </w:tcPr>
          <w:p>
            <w:pPr>
              <w:spacing w:after="0"/>
              <w:rPr>
                <w:sz w:val="11"/>
                <w:szCs w:val="11"/>
                <w:color w:val="auto"/>
              </w:rPr>
            </w:pPr>
          </w:p>
        </w:tc>
        <w:tc>
          <w:tcPr>
            <w:tcW w:w="2080" w:type="dxa"/>
            <w:vAlign w:val="bottom"/>
            <w:tcBorders>
              <w:bottom w:val="single" w:sz="8" w:color="auto"/>
            </w:tcBorders>
            <w:gridSpan w:val="3"/>
          </w:tcPr>
          <w:p>
            <w:pPr>
              <w:jc w:val="center"/>
              <w:ind w:right="23"/>
              <w:spacing w:after="0"/>
              <w:rPr>
                <w:sz w:val="20"/>
                <w:szCs w:val="20"/>
                <w:color w:val="auto"/>
              </w:rPr>
            </w:pPr>
            <w:r>
              <w:rPr>
                <w:rFonts w:ascii="Arial" w:cs="Arial" w:eastAsia="Arial" w:hAnsi="Arial"/>
                <w:sz w:val="11"/>
                <w:szCs w:val="11"/>
                <w:b w:val="1"/>
                <w:bCs w:val="1"/>
                <w:color w:val="auto"/>
              </w:rPr>
              <w:t>Beneficially Owned</w:t>
            </w:r>
          </w:p>
        </w:tc>
      </w:tr>
      <w:tr>
        <w:trPr>
          <w:trHeight w:val="111"/>
        </w:trPr>
        <w:tc>
          <w:tcPr>
            <w:tcW w:w="10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Owned Prior to</w:t>
            </w:r>
          </w:p>
        </w:tc>
        <w:tc>
          <w:tcPr>
            <w:tcW w:w="80" w:type="dxa"/>
            <w:vAlign w:val="bottom"/>
          </w:tcPr>
          <w:p>
            <w:pPr>
              <w:spacing w:after="0"/>
              <w:rPr>
                <w:sz w:val="9"/>
                <w:szCs w:val="9"/>
                <w:color w:val="auto"/>
              </w:rPr>
            </w:pPr>
          </w:p>
        </w:tc>
        <w:tc>
          <w:tcPr>
            <w:tcW w:w="10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Prior to this</w:t>
            </w:r>
          </w:p>
        </w:tc>
        <w:tc>
          <w:tcPr>
            <w:tcW w:w="80" w:type="dxa"/>
            <w:vAlign w:val="bottom"/>
          </w:tcPr>
          <w:p>
            <w:pPr>
              <w:spacing w:after="0"/>
              <w:rPr>
                <w:sz w:val="9"/>
                <w:szCs w:val="9"/>
                <w:color w:val="auto"/>
              </w:rPr>
            </w:pPr>
          </w:p>
        </w:tc>
        <w:tc>
          <w:tcPr>
            <w:tcW w:w="1000" w:type="dxa"/>
            <w:vAlign w:val="bottom"/>
          </w:tcPr>
          <w:p>
            <w:pPr>
              <w:ind w:left="200"/>
              <w:spacing w:after="0" w:line="112" w:lineRule="exact"/>
              <w:rPr>
                <w:sz w:val="20"/>
                <w:szCs w:val="20"/>
                <w:color w:val="auto"/>
              </w:rPr>
            </w:pPr>
            <w:r>
              <w:rPr>
                <w:rFonts w:ascii="Arial" w:cs="Arial" w:eastAsia="Arial" w:hAnsi="Arial"/>
                <w:sz w:val="11"/>
                <w:szCs w:val="11"/>
                <w:b w:val="1"/>
                <w:bCs w:val="1"/>
                <w:color w:val="auto"/>
              </w:rPr>
              <w:t>After this</w:t>
            </w:r>
          </w:p>
        </w:tc>
      </w:tr>
      <w:tr>
        <w:trPr>
          <w:trHeight w:val="137"/>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Offering</w:t>
            </w:r>
          </w:p>
        </w:tc>
        <w:tc>
          <w:tcPr>
            <w:tcW w:w="8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Offering</w:t>
            </w:r>
          </w:p>
        </w:tc>
        <w:tc>
          <w:tcPr>
            <w:tcW w:w="80" w:type="dxa"/>
            <w:vAlign w:val="bottom"/>
          </w:tcPr>
          <w:p>
            <w:pPr>
              <w:spacing w:after="0"/>
              <w:rPr>
                <w:sz w:val="11"/>
                <w:szCs w:val="11"/>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Offering</w:t>
            </w:r>
          </w:p>
        </w:tc>
      </w:tr>
    </w:tbl>
    <w:p>
      <w:pPr>
        <w:spacing w:after="0" w:line="4205" w:lineRule="exact"/>
        <w:rPr>
          <w:sz w:val="20"/>
          <w:szCs w:val="20"/>
          <w:color w:val="auto"/>
        </w:rPr>
      </w:pPr>
    </w:p>
    <w:p>
      <w:pPr>
        <w:sectPr>
          <w:pgSz w:w="11900" w:h="16838" w:orient="portrait"/>
          <w:cols w:equalWidth="0" w:num="2">
            <w:col w:w="4500" w:space="720"/>
            <w:col w:w="3799"/>
          </w:cols>
          <w:pgMar w:left="1440" w:top="123" w:right="1440" w:bottom="1440" w:gutter="0" w:footer="0" w:header="0"/>
          <w:type w:val="continuous"/>
        </w:sectPr>
      </w:pPr>
    </w:p>
    <w:p>
      <w:pPr>
        <w:spacing w:after="0" w:line="4" w:lineRule="exact"/>
        <w:rPr>
          <w:sz w:val="20"/>
          <w:szCs w:val="20"/>
          <w:color w:val="auto"/>
        </w:rPr>
      </w:pPr>
    </w:p>
    <w:p>
      <w:pPr>
        <w:ind w:left="920" w:hanging="282"/>
        <w:spacing w:after="0"/>
        <w:tabs>
          <w:tab w:leader="none" w:pos="9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13" w:name="page214"/>
    <w:bookmarkEnd w:id="21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 OF CAPITAL STOCK</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General</w:t>
      </w:r>
    </w:p>
    <w:p>
      <w:pPr>
        <w:spacing w:after="0" w:line="86"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The following description summarizes the most important terms of our capital stock, as they will be in effect upon the closing of this offering. We expect to adopt our Certificate of Incorporation and Bylaws, which will be effective immediately prior to the closing of this offering, and this description summarizes the provisions that will be included in such documents. Because it is only a summary, it does not contain all of the information that may be important to you. For a complete description of the matters set forth in this “</w:t>
      </w:r>
      <w:r>
        <w:rPr>
          <w:rFonts w:ascii="Arial" w:cs="Arial" w:eastAsia="Arial" w:hAnsi="Arial"/>
          <w:sz w:val="14"/>
          <w:szCs w:val="14"/>
          <w:i w:val="1"/>
          <w:iCs w:val="1"/>
          <w:color w:val="auto"/>
        </w:rPr>
        <w:t>Description of Capital Stock</w:t>
      </w:r>
      <w:r>
        <w:rPr>
          <w:rFonts w:ascii="Arial" w:cs="Arial" w:eastAsia="Arial" w:hAnsi="Arial"/>
          <w:sz w:val="14"/>
          <w:szCs w:val="14"/>
          <w:color w:val="auto"/>
        </w:rPr>
        <w:t>,” you should refer to our Certificate of Incorporation and Bylaws, which will be included as exhibits to the registration statement of which this prospectus forms a part, and to the applicable provisions of Delaware law. Immediately following the closing of this offering, our authorized capital stock will consist of         shares of common stock, $0.0001 par value per share, and         shares of undesignated preferred stock, $0.0001 par value per share.</w:t>
      </w:r>
    </w:p>
    <w:p>
      <w:pPr>
        <w:spacing w:after="0" w:line="57"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As of December 31, 2025, there were 294,461,725 shares of our common stock outstanding, including 1,618,376 shares of unvested restricted common stock, after giving effect to (i) the conversion of all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and (iii) the automatic conversion of all outstanding shares of our non-voting common stock into an aggregate of 81,240 shares of our common stock upon the closing of this offering, held by         stockholders of record. After giving effect to such conversions, there would have been no shares of non-voting common stock or preferred stock outstanding. Upon consummation of this offering, our board of directors will be authorized, without stockholder approval except as required by the listing standards of Nasdaq Rules, to issue additional shares of our capital stock.</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Common Stock</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Dividend Rights</w:t>
      </w:r>
    </w:p>
    <w:p>
      <w:pPr>
        <w:spacing w:after="0" w:line="84" w:lineRule="exact"/>
        <w:rPr>
          <w:sz w:val="20"/>
          <w:szCs w:val="20"/>
          <w:color w:val="auto"/>
        </w:rPr>
      </w:pPr>
    </w:p>
    <w:p>
      <w:pPr>
        <w:ind w:left="640" w:right="799" w:firstLine="443"/>
        <w:spacing w:after="0" w:line="261" w:lineRule="auto"/>
        <w:rPr>
          <w:sz w:val="20"/>
          <w:szCs w:val="20"/>
          <w:color w:val="auto"/>
        </w:rPr>
      </w:pPr>
      <w:r>
        <w:rPr>
          <w:rFonts w:ascii="Arial" w:cs="Arial" w:eastAsia="Arial" w:hAnsi="Arial"/>
          <w:sz w:val="14"/>
          <w:szCs w:val="14"/>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Voting Rights</w:t>
      </w:r>
    </w:p>
    <w:p>
      <w:pPr>
        <w:spacing w:after="0" w:line="84"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Holders of our common stock are entitled to one vote for each share held on all matters submitted to a vote of stockholders. We have not provided for cumulative voting for the election of directors in our Certificate of Incorporation. Accordingly, holders of a majority of the voting shares are able to elect all of the directors. In addition, the affirmative vote of holders of 66-2/3% of the voting power of all of the then outstanding capital stock entitled to vote generally in the election of directors, voting as a single class, will be required to take certain actions, including removing directors for cause, amending certain provisions of our Certificate of Incorporation, including the provisions relating to amending our Bylaws, director and board matters and director liability.</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84" w:lineRule="exact"/>
        <w:rPr>
          <w:sz w:val="20"/>
          <w:szCs w:val="20"/>
          <w:color w:val="auto"/>
        </w:rPr>
      </w:pPr>
    </w:p>
    <w:p>
      <w:pPr>
        <w:ind w:left="640" w:right="699" w:firstLine="443"/>
        <w:spacing w:after="0" w:line="282" w:lineRule="auto"/>
        <w:rPr>
          <w:sz w:val="20"/>
          <w:szCs w:val="20"/>
          <w:color w:val="auto"/>
        </w:rPr>
      </w:pPr>
      <w:r>
        <w:rPr>
          <w:rFonts w:ascii="Arial" w:cs="Arial" w:eastAsia="Arial" w:hAnsi="Arial"/>
          <w:sz w:val="14"/>
          <w:szCs w:val="14"/>
          <w:color w:val="auto"/>
        </w:rPr>
        <w:t>Our common stock is not entitled to preemptive rights, and is not subject to conversion, redemption or sinking fund provisions.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Right to Receive Liquidation Distributions</w:t>
      </w:r>
    </w:p>
    <w:p>
      <w:pPr>
        <w:spacing w:after="0" w:line="84" w:lineRule="exact"/>
        <w:rPr>
          <w:sz w:val="20"/>
          <w:szCs w:val="20"/>
          <w:color w:val="auto"/>
        </w:rPr>
      </w:pPr>
    </w:p>
    <w:p>
      <w:pPr>
        <w:ind w:left="640" w:right="719" w:firstLine="443"/>
        <w:spacing w:after="0" w:line="254" w:lineRule="auto"/>
        <w:rPr>
          <w:sz w:val="20"/>
          <w:szCs w:val="20"/>
          <w:color w:val="auto"/>
        </w:rPr>
      </w:pPr>
      <w:r>
        <w:rPr>
          <w:rFonts w:ascii="Arial" w:cs="Arial" w:eastAsia="Arial" w:hAnsi="Arial"/>
          <w:sz w:val="14"/>
          <w:szCs w:val="14"/>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Fully Paid and Non-Assessable</w:t>
      </w:r>
    </w:p>
    <w:p>
      <w:pPr>
        <w:spacing w:after="0" w:line="84" w:lineRule="exact"/>
        <w:rPr>
          <w:sz w:val="20"/>
          <w:szCs w:val="20"/>
          <w:color w:val="auto"/>
        </w:rPr>
      </w:pPr>
    </w:p>
    <w:p>
      <w:pPr>
        <w:ind w:left="640" w:right="719" w:firstLine="443"/>
        <w:spacing w:after="0" w:line="282" w:lineRule="auto"/>
        <w:rPr>
          <w:sz w:val="20"/>
          <w:szCs w:val="20"/>
          <w:color w:val="auto"/>
        </w:rPr>
      </w:pPr>
      <w:r>
        <w:rPr>
          <w:rFonts w:ascii="Arial" w:cs="Arial" w:eastAsia="Arial" w:hAnsi="Arial"/>
          <w:sz w:val="14"/>
          <w:szCs w:val="14"/>
          <w:color w:val="auto"/>
        </w:rPr>
        <w:t>All of the outstanding shares of our common stock are, and the shares of our common stock to be issued pursuant to this offering will be, fully paid and non-assessable.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4" w:name="page215"/>
    <w:bookmarkEnd w:id="21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Preferred Stock</w:t>
      </w:r>
    </w:p>
    <w:p>
      <w:pPr>
        <w:spacing w:after="0" w:line="86" w:lineRule="exact"/>
        <w:rPr>
          <w:sz w:val="20"/>
          <w:szCs w:val="20"/>
          <w:color w:val="auto"/>
        </w:rPr>
      </w:pPr>
    </w:p>
    <w:p>
      <w:pPr>
        <w:ind w:left="640" w:right="659" w:firstLine="443"/>
        <w:spacing w:after="0" w:line="245" w:lineRule="auto"/>
        <w:rPr>
          <w:sz w:val="20"/>
          <w:szCs w:val="20"/>
          <w:color w:val="auto"/>
        </w:rPr>
      </w:pPr>
      <w:r>
        <w:rPr>
          <w:rFonts w:ascii="Arial" w:cs="Arial" w:eastAsia="Arial" w:hAnsi="Arial"/>
          <w:sz w:val="14"/>
          <w:szCs w:val="14"/>
          <w:color w:val="auto"/>
        </w:rPr>
        <w:t xml:space="preserve">As of December 31, 2025, there were 237,186,132 shares of convertible preferred stock outstanding, consisting of 28,357,989 shares of Series A convertible preferred stock, </w:t>
      </w:r>
      <w:r>
        <w:rPr>
          <w:rFonts w:ascii="Arial" w:cs="Arial" w:eastAsia="Arial" w:hAnsi="Arial"/>
          <w:sz w:val="14"/>
          <w:szCs w:val="14"/>
          <w:color w:val="2C3030"/>
        </w:rPr>
        <w:t>7,575,753</w:t>
      </w:r>
      <w:r>
        <w:rPr>
          <w:rFonts w:ascii="Arial" w:cs="Arial" w:eastAsia="Arial" w:hAnsi="Arial"/>
          <w:sz w:val="14"/>
          <w:szCs w:val="14"/>
          <w:color w:val="auto"/>
        </w:rPr>
        <w:t xml:space="preserve"> shares of Series A-1 convertible preferred stock, 7,799,055 shares of Series A-2 convertible preferred stock, 26,601,360 shares of Series B convertible preferred stock, 23,442,000 shares of Series C convertible preferred stock, 1,459,598 shares of Series C-1 convertible preferred stock and 141,950,377 shares of Series D convertible preferred stock. All of our outstanding shares of convertible preferred stock will be converted into an aggregate of 238,999,327 shares of our common stock immediately prior to the closing of this offering and we will not have any shares of preferred stock outstanding. Immediately prior to the closing of this offering, our current amended and restated certificate of incorporation will be amended and restated to remove all references to such shares of convertible preferred stock.</w:t>
      </w:r>
    </w:p>
    <w:p>
      <w:pPr>
        <w:spacing w:after="0" w:line="57"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Upon consummation of this offering, our board of directors will be authorized, subject to limitations prescribed by Delaware law, to issue preferred stock in one or more series,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or other corporate action and might adversely affect the market price of our common stock and the voting and other rights of the holders of our common stock. We have no current plan to issue any shares of preferred stock.</w:t>
      </w:r>
    </w:p>
    <w:p>
      <w:pPr>
        <w:spacing w:after="0" w:line="30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Options</w:t>
      </w:r>
    </w:p>
    <w:p>
      <w:pPr>
        <w:spacing w:after="0" w:line="86"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As of December 31, 2025, we had outstanding options to purchase an aggregate of 45,008,927 shares of our common stock, with a weighted-average exercise price of $0.51 under the 2021 Plan. Following completion of this offering,         shares of our common stock will initially be reserved for future issuance under the 2026 Plan, which will become effective on the date immediately preceding the date on which our common stock is listed (or approved for listing) on Nasdaq, as well as any future automatic annual increases in the number of shares of our common stock reserved for issuance under the 2026 Plan and any shares underlying outstanding stock awards granted under the 2021 Plan, that expire or are repurchased, forfeited, cancelled or withheld. For additional information regarding terms of our equity incentive plans, see the section of this prospectus titled “</w:t>
      </w:r>
      <w:r>
        <w:rPr>
          <w:rFonts w:ascii="Arial" w:cs="Arial" w:eastAsia="Arial" w:hAnsi="Arial"/>
          <w:sz w:val="14"/>
          <w:szCs w:val="14"/>
          <w:i w:val="1"/>
          <w:iCs w:val="1"/>
          <w:color w:val="auto"/>
        </w:rPr>
        <w:t>Executive Compensation—Equity Benefit Plans</w:t>
      </w:r>
      <w:r>
        <w:rPr>
          <w:rFonts w:ascii="Arial" w:cs="Arial" w:eastAsia="Arial" w:hAnsi="Arial"/>
          <w:sz w:val="14"/>
          <w:szCs w:val="14"/>
          <w:color w:val="auto"/>
        </w:rPr>
        <w: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Warrants</w:t>
      </w:r>
    </w:p>
    <w:p>
      <w:pPr>
        <w:spacing w:after="0" w:line="8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As of December 31, 2025, we had outstanding Common Stock Warrants to purchase an aggregate of 32,142,070 shares of our common stock. The Common Stock Warrants have an exercise price of $0.01 per share and may be exercised, in whole or in part, at any time up to and including the first to occur of the consummation of (i) a Deemed Liquidation Event (as defined in our Certificate of Incorporation) or an initial public offering and (ii) the seventh anniversary of the date of issue. The Common Stock Warrants may be exercised either in cash or net issued. The Common Stock Warrants will be automatically exercised upon the consummation of a Deemed Liquidation Event or an initial public offering, including this offering. In addition, as of December 31, 2025, we had an outstanding BOC Warrant to purchase 16,248 shares of our Series A-2 convertible preferred stock at a price of $6.15 per share. The BOC Warrant may be exercised, in whole or in part, at any time up to and including March 17, 2032. Following the conversion of our outstanding shares of convertible preferred stock into shares of common stock, the BOC Warrant will become exercisable into 16,928 shares of common stock.</w:t>
      </w:r>
    </w:p>
    <w:p>
      <w:pPr>
        <w:spacing w:after="0" w:line="30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Registration Rights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Investors’ Rights Agreement</w:t>
      </w:r>
    </w:p>
    <w:p>
      <w:pPr>
        <w:spacing w:after="0" w:line="84" w:lineRule="exact"/>
        <w:rPr>
          <w:sz w:val="20"/>
          <w:szCs w:val="20"/>
          <w:color w:val="auto"/>
        </w:rPr>
      </w:pPr>
    </w:p>
    <w:p>
      <w:pPr>
        <w:ind w:left="640" w:right="679" w:firstLine="443"/>
        <w:spacing w:after="0" w:line="261" w:lineRule="auto"/>
        <w:rPr>
          <w:sz w:val="20"/>
          <w:szCs w:val="20"/>
          <w:color w:val="auto"/>
        </w:rPr>
      </w:pPr>
      <w:r>
        <w:rPr>
          <w:rFonts w:ascii="Arial" w:cs="Arial" w:eastAsia="Arial" w:hAnsi="Arial"/>
          <w:sz w:val="14"/>
          <w:szCs w:val="14"/>
          <w:color w:val="auto"/>
        </w:rPr>
        <w:t>We are party to the Third A&amp;R Rights Agreement, which, among other things, grants certain rights to the holders of our outstanding convertible preferred stock, including certain registration rights with respect to the registrable securities held by them, as described in additional detail below.</w:t>
      </w:r>
    </w:p>
    <w:p>
      <w:pPr>
        <w:spacing w:after="0" w:line="44"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As of the completion of this offering, after giving effect to the conversion of all outstanding shares of our convertible preferred stock into an aggregate of 238,999,327 shares of our common stock immediately prior to the closing of this offering, there will be an aggregate of         shares of our common stock that are entitled to these demand, piggyback and Form S-3 registration rights pursuant to the Third A&amp;R Rights Agreement. We will pay the registration expenses, other than the underwriting discounts and selling commissions, of the shares registered pursuant to the demand, piggyback and Form S-3 registrations described below.</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5" w:name="page216"/>
    <w:bookmarkEnd w:id="21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1039" w:firstLine="443"/>
        <w:spacing w:after="0" w:line="250" w:lineRule="auto"/>
        <w:rPr>
          <w:sz w:val="20"/>
          <w:szCs w:val="20"/>
          <w:color w:val="auto"/>
        </w:rPr>
      </w:pPr>
      <w:r>
        <w:rPr>
          <w:rFonts w:ascii="Arial" w:cs="Arial" w:eastAsia="Arial" w:hAnsi="Arial"/>
          <w:sz w:val="14"/>
          <w:szCs w:val="14"/>
          <w:color w:val="auto"/>
        </w:rPr>
        <w:t>Generally, in an underwritten offering, the managing underwriter, if any, has the right, subject to specified conditions, to limit the number of shares the holders may include. The demand, piggyback and Form S-3 registration rights described below will expire no later than five years after the completion of this offering, or with respect to any particular holder, at such time that such holder can sell its shares under Rule 144 under the Securities Act without limitation during any three-month period.</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Demand Registration Rights</w:t>
      </w:r>
    </w:p>
    <w:p>
      <w:pPr>
        <w:spacing w:after="0" w:line="84"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Pursuant to the terms of the Third A&amp;R Rights Agreement, the parties thereto will be entitled to certain demand registration rights. At any time beginning after the earlier of (i) five years after the date of the Third A&amp;R Rights Agreement and (ii) 180 days after the completion of this offering, the holders of a majority of the registrable securities then outstanding may request that we register all or a portion of their shares by filing a registration statement on Form S-1. Such request for registration must cover at least 40% of the registrable securities then outstanding with an anticipated aggregate offering price of at least $10.0 million, net of applicable selling expenses. If at any time while we are eligible to use a registration statement on Form S-3, holders of at least 25% of the registrable securities then outstanding can make a request that we register their shares on Form S-3 if such holders hold registrable securities in an anticipated aggregate offering amount of at least $5.0 million, net of applicable selling expenses.</w:t>
      </w:r>
    </w:p>
    <w:p>
      <w:pPr>
        <w:spacing w:after="0" w:line="57"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We will not be required to effect a registration on Form S-1 (i) during the period beginning 60 days prior to our good faith estimate of the planned filing date of a registration initiated by us until 180 days after the effective date of such registration, (ii) after having effected two registrations on Form S-1 or (iii) if the holders propose to dispose shares that can be immediately registered on a registration statement on Form S-3. Similarly, we will not be required to effect a registration statement on Form S-3 (i) during the period beginning 30 days prior to our good faith estimate of the planned filing date of a registration initiated by us until 90 days after the effective date of such registration or (ii) after having effected two registrations on Form S-3 within a 12-month period immediately preceding the request.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Piggyback Registration Rights</w:t>
      </w:r>
    </w:p>
    <w:p>
      <w:pPr>
        <w:spacing w:after="0" w:line="84"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After this offering, in the event that we propose to register any of our securities under the Securities Act, either for our own account or for the account of other security holders, certain holders of registrable securities will be entitled to piggyback registration rights pursuant to the Third A&amp;R Rights Agreement allowing such holders to include their shares in such registration, subject to certain marketing and other limitations. As a result, whenever we propose to file a registration statement under the Securities Act, other than with respect to: (i) a demand registration pursuant to the Third A&amp;R Rights Agreement; (ii) the registration of securities relating to the sale or grant of securities to employees to a stock option, stock purchase, equity incentive or similar plan; (iii) the registration of securities relating to a SEC Rule 145 transaction; (iv) the registration of securities on any form that does not include substantially the same information as would be required on a Form S-1 or Form S-3; or (v) the registration of common stock that is issuable upon conversion of debt securities that are also being registered, then holders of these shares are entitled to notice of the registration and have the right to include their shares in the registration, subject to limitations that the underwriters may impose on the number of shares included in the offering.</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Election and Removal of Directors; Vacancies</w:t>
      </w:r>
    </w:p>
    <w:p>
      <w:pPr>
        <w:spacing w:after="0" w:line="86" w:lineRule="exact"/>
        <w:rPr>
          <w:sz w:val="20"/>
          <w:szCs w:val="20"/>
          <w:color w:val="auto"/>
        </w:rPr>
      </w:pPr>
    </w:p>
    <w:p>
      <w:pPr>
        <w:ind w:left="640" w:right="659" w:firstLine="443"/>
        <w:spacing w:after="0" w:line="261" w:lineRule="auto"/>
        <w:rPr>
          <w:sz w:val="20"/>
          <w:szCs w:val="20"/>
          <w:color w:val="auto"/>
        </w:rPr>
      </w:pPr>
      <w:r>
        <w:rPr>
          <w:rFonts w:ascii="Arial" w:cs="Arial" w:eastAsia="Arial" w:hAnsi="Arial"/>
          <w:sz w:val="14"/>
          <w:szCs w:val="14"/>
          <w:color w:val="auto"/>
        </w:rPr>
        <w:t>The exact number of directors will be fixed from time to time by resolution of our board of directors. Directors will be elected by a plurality of the votes of the shares of our capital stock present in person or represented by proxy at the meeting and entitled to vote on the election of directors.</w:t>
      </w:r>
    </w:p>
    <w:p>
      <w:pPr>
        <w:spacing w:after="0" w:line="44" w:lineRule="exact"/>
        <w:rPr>
          <w:sz w:val="20"/>
          <w:szCs w:val="20"/>
          <w:color w:val="auto"/>
        </w:rPr>
      </w:pPr>
    </w:p>
    <w:p>
      <w:pPr>
        <w:jc w:val="both"/>
        <w:ind w:left="640" w:right="699" w:firstLine="443"/>
        <w:spacing w:after="0" w:line="261" w:lineRule="auto"/>
        <w:rPr>
          <w:sz w:val="20"/>
          <w:szCs w:val="20"/>
          <w:color w:val="auto"/>
        </w:rPr>
      </w:pPr>
      <w:r>
        <w:rPr>
          <w:rFonts w:ascii="Arial" w:cs="Arial" w:eastAsia="Arial" w:hAnsi="Arial"/>
          <w:sz w:val="14"/>
          <w:szCs w:val="14"/>
          <w:color w:val="auto"/>
        </w:rPr>
        <w:t>No director may be removed except for cause, and directors may be removed for cause only by an affirmative vote of the holders of at least 66-2/3% of the voting power of the then-outstanding shares of capital stock entitled to vote at an election of directors, voting as a single class.</w:t>
      </w:r>
    </w:p>
    <w:p>
      <w:pPr>
        <w:spacing w:after="0" w:line="44" w:lineRule="exact"/>
        <w:rPr>
          <w:sz w:val="20"/>
          <w:szCs w:val="20"/>
          <w:color w:val="auto"/>
        </w:rPr>
      </w:pPr>
    </w:p>
    <w:p>
      <w:pPr>
        <w:ind w:left="640" w:right="659" w:firstLine="443"/>
        <w:spacing w:after="0" w:line="282" w:lineRule="auto"/>
        <w:rPr>
          <w:sz w:val="20"/>
          <w:szCs w:val="20"/>
          <w:color w:val="auto"/>
        </w:rPr>
      </w:pPr>
      <w:r>
        <w:rPr>
          <w:rFonts w:ascii="Arial" w:cs="Arial" w:eastAsia="Arial" w:hAnsi="Arial"/>
          <w:sz w:val="14"/>
          <w:szCs w:val="14"/>
          <w:color w:val="auto"/>
        </w:rPr>
        <w:t>Any vacancy occurring on our board of directors and any newly created directorship may be filled only by a majority vote of the remaining directors then in office, even if less than a quorum.</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Staggered Board</w:t>
      </w:r>
    </w:p>
    <w:p>
      <w:pPr>
        <w:spacing w:after="0" w:line="86"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Upon the closing of this offering, our board of directors will be divided into three classes serving staggered three-year terms. Class I, Class II and Class III directors will serve until our annual meetings of stockholders in 2027, 2028 and 2029,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typically be necessary for stockholders to effect a change in a majority of the members of our board of directors.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6" w:name="page217"/>
    <w:bookmarkEnd w:id="21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Limitation on Action by Written Consent</w:t>
      </w:r>
    </w:p>
    <w:p>
      <w:pPr>
        <w:spacing w:after="0" w:line="86" w:lineRule="exact"/>
        <w:rPr>
          <w:sz w:val="20"/>
          <w:szCs w:val="20"/>
          <w:color w:val="auto"/>
        </w:rPr>
      </w:pPr>
    </w:p>
    <w:p>
      <w:pPr>
        <w:ind w:left="640" w:right="739" w:firstLine="443"/>
        <w:spacing w:after="0" w:line="282" w:lineRule="auto"/>
        <w:rPr>
          <w:sz w:val="20"/>
          <w:szCs w:val="20"/>
          <w:color w:val="auto"/>
        </w:rPr>
      </w:pPr>
      <w:r>
        <w:rPr>
          <w:rFonts w:ascii="Arial" w:cs="Arial" w:eastAsia="Arial" w:hAnsi="Arial"/>
          <w:sz w:val="14"/>
          <w:szCs w:val="14"/>
          <w:color w:val="auto"/>
        </w:rPr>
        <w:t>Our Certificate of Incorporation and our Bylaws provide that holders of our common stock will not be able to act by written consent without a meeting.</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Stockholder Meetings</w:t>
      </w:r>
    </w:p>
    <w:p>
      <w:pPr>
        <w:spacing w:after="0" w:line="86" w:lineRule="exact"/>
        <w:rPr>
          <w:sz w:val="20"/>
          <w:szCs w:val="20"/>
          <w:color w:val="auto"/>
        </w:rPr>
      </w:pPr>
    </w:p>
    <w:p>
      <w:pPr>
        <w:ind w:left="640" w:right="759" w:firstLine="443"/>
        <w:spacing w:after="0" w:line="254" w:lineRule="auto"/>
        <w:rPr>
          <w:sz w:val="20"/>
          <w:szCs w:val="20"/>
          <w:color w:val="auto"/>
        </w:rPr>
      </w:pPr>
      <w:r>
        <w:rPr>
          <w:rFonts w:ascii="Arial" w:cs="Arial" w:eastAsia="Arial" w:hAnsi="Arial"/>
          <w:sz w:val="14"/>
          <w:szCs w:val="14"/>
          <w:color w:val="auto"/>
        </w:rPr>
        <w:t>Our Certificate of Incorporation and our Bylaws provide that special meetings of our stockholders may be called only by the Chair of our board of directors, our Chief Executive Officer or the board of directors pursuant to a resolution adopted by a majority of the directors. Our Certificate of Incorporation and our Bylaws specifically deny any power of any other person to call a special meeting.</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Amendment of Certificate of Incorporation</w:t>
      </w:r>
    </w:p>
    <w:p>
      <w:pPr>
        <w:spacing w:after="0" w:line="86" w:lineRule="exact"/>
        <w:rPr>
          <w:sz w:val="20"/>
          <w:szCs w:val="20"/>
          <w:color w:val="auto"/>
        </w:rPr>
      </w:pPr>
    </w:p>
    <w:p>
      <w:pPr>
        <w:ind w:left="640" w:right="799" w:firstLine="443"/>
        <w:spacing w:after="0" w:line="250" w:lineRule="auto"/>
        <w:rPr>
          <w:sz w:val="20"/>
          <w:szCs w:val="20"/>
          <w:color w:val="auto"/>
        </w:rPr>
      </w:pPr>
      <w:r>
        <w:rPr>
          <w:rFonts w:ascii="Arial" w:cs="Arial" w:eastAsia="Arial" w:hAnsi="Arial"/>
          <w:sz w:val="14"/>
          <w:szCs w:val="14"/>
          <w:color w:val="auto"/>
        </w:rPr>
        <w:t>The provisions of our Certificate of Incorporation under Articles V through IX may be amended only by the affirmative vote of holders of at least 66-2/3% of the then-outstanding shares of capital stock entitled to vote generally in the election of directors, voting as a single class, and two-thirds of our board of directors. The affirmative vote of holders of at least a majority of the voting power of our outstanding shares of capital stock will generally be required to amend other provisions of our Certificate of Incorporation.</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Amendment of Bylaws</w:t>
      </w:r>
    </w:p>
    <w:p>
      <w:pPr>
        <w:spacing w:after="0" w:line="86"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The provisions of our Bylaws may be amended or repealed, and new bylaws may be adopted by (i) our board of directors, or (ii) our stockholders, with the affirmative vote of the holders of at least 66-2/3% of the voting power of our then-outstanding shares of capital stock entitled to vote generally in the election of directors, voting as a single class. Notwithstanding the foregoing</w:t>
      </w:r>
      <w:r>
        <w:rPr>
          <w:rFonts w:ascii="Arial" w:cs="Arial" w:eastAsia="Arial" w:hAnsi="Arial"/>
          <w:sz w:val="14"/>
          <w:szCs w:val="14"/>
          <w:i w:val="1"/>
          <w:iCs w:val="1"/>
          <w:color w:val="auto"/>
        </w:rPr>
        <w:t>,</w:t>
      </w:r>
      <w:r>
        <w:rPr>
          <w:rFonts w:ascii="Arial" w:cs="Arial" w:eastAsia="Arial" w:hAnsi="Arial"/>
          <w:sz w:val="14"/>
          <w:szCs w:val="14"/>
          <w:color w:val="auto"/>
        </w:rPr>
        <w:t xml:space="preserve"> if our board of directors recommends that stockholders approve such adoption, amendment or repeal, such action shall only require the affirmative vote of the holders of a majority of the voting power of our outstanding shares of capital stock entitled to vote generally in the election of directors, voting together as a single class.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Other Limitations on Stockholder Actions</w:t>
      </w:r>
    </w:p>
    <w:p>
      <w:pPr>
        <w:spacing w:after="0" w:line="86" w:lineRule="exact"/>
        <w:rPr>
          <w:sz w:val="20"/>
          <w:szCs w:val="20"/>
          <w:color w:val="auto"/>
        </w:rPr>
      </w:pPr>
    </w:p>
    <w:p>
      <w:pPr>
        <w:ind w:left="640" w:right="659" w:firstLine="443"/>
        <w:spacing w:after="0" w:line="282" w:lineRule="auto"/>
        <w:rPr>
          <w:sz w:val="20"/>
          <w:szCs w:val="20"/>
          <w:color w:val="auto"/>
        </w:rPr>
      </w:pPr>
      <w:r>
        <w:rPr>
          <w:rFonts w:ascii="Arial" w:cs="Arial" w:eastAsia="Arial" w:hAnsi="Arial"/>
          <w:sz w:val="14"/>
          <w:szCs w:val="14"/>
          <w:color w:val="auto"/>
        </w:rPr>
        <w:t>Our Bylaws impose some procedural requirements on stockholders who wish to bring business before a meeting of our stockholders, including proposed nominations of persons for election to our board of directors.</w:t>
      </w:r>
    </w:p>
    <w:p>
      <w:pPr>
        <w:spacing w:after="0" w:line="30" w:lineRule="exact"/>
        <w:rPr>
          <w:sz w:val="20"/>
          <w:szCs w:val="20"/>
          <w:color w:val="auto"/>
        </w:rPr>
      </w:pPr>
    </w:p>
    <w:p>
      <w:pPr>
        <w:ind w:left="640" w:right="739" w:firstLine="443"/>
        <w:spacing w:after="0" w:line="254" w:lineRule="auto"/>
        <w:rPr>
          <w:sz w:val="20"/>
          <w:szCs w:val="20"/>
          <w:color w:val="auto"/>
        </w:rPr>
      </w:pPr>
      <w:r>
        <w:rPr>
          <w:rFonts w:ascii="Arial" w:cs="Arial" w:eastAsia="Arial" w:hAnsi="Arial"/>
          <w:sz w:val="14"/>
          <w:szCs w:val="14"/>
          <w:color w:val="auto"/>
        </w:rPr>
        <w:t>Under these procedural requirements, in order to bring a proposal before a meeting of stockholders, a stockholder must deliver timely notice of a proposal pertaining to a proper subject for presentation at the meeting to our corporate secretary and provide us additional information regarding the proponents of such proposal and the proposal itself, including:</w:t>
      </w:r>
    </w:p>
    <w:p>
      <w:pPr>
        <w:spacing w:after="0" w:line="49" w:lineRule="exact"/>
        <w:rPr>
          <w:sz w:val="20"/>
          <w:szCs w:val="20"/>
          <w:color w:val="auto"/>
        </w:rPr>
      </w:pPr>
    </w:p>
    <w:p>
      <w:pPr>
        <w:ind w:left="1260" w:right="1219" w:hanging="179"/>
        <w:spacing w:after="0" w:line="281" w:lineRule="auto"/>
        <w:tabs>
          <w:tab w:leader="none" w:pos="1260" w:val="left"/>
        </w:tabs>
        <w:numPr>
          <w:ilvl w:val="0"/>
          <w:numId w:val="94"/>
        </w:numPr>
        <w:rPr>
          <w:rFonts w:ascii="Times New Roman" w:cs="Times New Roman" w:eastAsia="Times New Roman" w:hAnsi="Times New Roman"/>
          <w:sz w:val="14"/>
          <w:szCs w:val="14"/>
          <w:color w:val="auto"/>
        </w:rPr>
      </w:pPr>
      <w:r>
        <w:rPr>
          <w:rFonts w:ascii="Arial" w:cs="Arial" w:eastAsia="Arial" w:hAnsi="Arial"/>
          <w:sz w:val="14"/>
          <w:szCs w:val="14"/>
          <w:color w:val="auto"/>
        </w:rPr>
        <w:t>a description of the business or nomination to be brought before the meeting, the text of the proposal or business and the reasons for conducting such business at the meeting;</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4"/>
        </w:numPr>
        <w:rPr>
          <w:rFonts w:ascii="Times New Roman" w:cs="Times New Roman" w:eastAsia="Times New Roman" w:hAnsi="Times New Roman"/>
          <w:sz w:val="14"/>
          <w:szCs w:val="14"/>
          <w:color w:val="auto"/>
        </w:rPr>
      </w:pPr>
      <w:r>
        <w:rPr>
          <w:rFonts w:ascii="Arial" w:cs="Arial" w:eastAsia="Arial" w:hAnsi="Arial"/>
          <w:sz w:val="14"/>
          <w:szCs w:val="14"/>
          <w:color w:val="auto"/>
        </w:rPr>
        <w:t>the stockholder’s name and address;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4"/>
        </w:numPr>
        <w:rPr>
          <w:rFonts w:ascii="Times New Roman" w:cs="Times New Roman" w:eastAsia="Times New Roman" w:hAnsi="Times New Roman"/>
          <w:sz w:val="14"/>
          <w:szCs w:val="14"/>
          <w:color w:val="auto"/>
        </w:rPr>
      </w:pPr>
      <w:r>
        <w:rPr>
          <w:rFonts w:ascii="Arial" w:cs="Arial" w:eastAsia="Arial" w:hAnsi="Arial"/>
          <w:sz w:val="14"/>
          <w:szCs w:val="14"/>
          <w:color w:val="auto"/>
        </w:rPr>
        <w:t>any material interest of the stockholder in the proposal;</w:t>
      </w:r>
    </w:p>
    <w:p>
      <w:pPr>
        <w:spacing w:after="0" w:line="96" w:lineRule="exact"/>
        <w:rPr>
          <w:rFonts w:ascii="Times New Roman" w:cs="Times New Roman" w:eastAsia="Times New Roman" w:hAnsi="Times New Roman"/>
          <w:sz w:val="14"/>
          <w:szCs w:val="14"/>
          <w:color w:val="auto"/>
        </w:rPr>
      </w:pPr>
    </w:p>
    <w:p>
      <w:pPr>
        <w:ind w:left="1260" w:right="819" w:hanging="179"/>
        <w:spacing w:after="0" w:line="281" w:lineRule="auto"/>
        <w:tabs>
          <w:tab w:leader="none" w:pos="1260" w:val="left"/>
        </w:tabs>
        <w:numPr>
          <w:ilvl w:val="0"/>
          <w:numId w:val="94"/>
        </w:numPr>
        <w:rPr>
          <w:rFonts w:ascii="Times New Roman" w:cs="Times New Roman" w:eastAsia="Times New Roman" w:hAnsi="Times New Roman"/>
          <w:sz w:val="14"/>
          <w:szCs w:val="14"/>
          <w:color w:val="auto"/>
        </w:rPr>
      </w:pPr>
      <w:r>
        <w:rPr>
          <w:rFonts w:ascii="Arial" w:cs="Arial" w:eastAsia="Arial" w:hAnsi="Arial"/>
          <w:sz w:val="14"/>
          <w:szCs w:val="14"/>
          <w:color w:val="auto"/>
        </w:rPr>
        <w:t>the number of shares beneficially owned by the stockholder, the date or dates such shares were acquired and the investment intent of such acquisition;</w:t>
      </w:r>
    </w:p>
    <w:p>
      <w:pPr>
        <w:spacing w:after="0" w:line="30" w:lineRule="exact"/>
        <w:rPr>
          <w:rFonts w:ascii="Times New Roman" w:cs="Times New Roman" w:eastAsia="Times New Roman" w:hAnsi="Times New Roman"/>
          <w:sz w:val="14"/>
          <w:szCs w:val="14"/>
          <w:color w:val="auto"/>
        </w:rPr>
      </w:pPr>
    </w:p>
    <w:p>
      <w:pPr>
        <w:ind w:left="1260" w:right="679" w:hanging="179"/>
        <w:spacing w:after="0" w:line="281" w:lineRule="auto"/>
        <w:tabs>
          <w:tab w:leader="none" w:pos="1260" w:val="left"/>
        </w:tabs>
        <w:numPr>
          <w:ilvl w:val="0"/>
          <w:numId w:val="94"/>
        </w:numPr>
        <w:rPr>
          <w:rFonts w:ascii="Times New Roman" w:cs="Times New Roman" w:eastAsia="Times New Roman" w:hAnsi="Times New Roman"/>
          <w:sz w:val="14"/>
          <w:szCs w:val="14"/>
          <w:color w:val="auto"/>
        </w:rPr>
      </w:pPr>
      <w:r>
        <w:rPr>
          <w:rFonts w:ascii="Arial" w:cs="Arial" w:eastAsia="Arial" w:hAnsi="Arial"/>
          <w:sz w:val="14"/>
          <w:szCs w:val="14"/>
          <w:color w:val="auto"/>
        </w:rPr>
        <w:t>any agreement, arrangement, or understanding that has been entered into by the stockholder the effect or intent of which is to mitigate loss, manage risk or benefit from changes in the price of any our securities; and</w:t>
      </w:r>
    </w:p>
    <w:p>
      <w:pPr>
        <w:spacing w:after="0" w:line="30" w:lineRule="exact"/>
        <w:rPr>
          <w:rFonts w:ascii="Times New Roman" w:cs="Times New Roman" w:eastAsia="Times New Roman" w:hAnsi="Times New Roman"/>
          <w:sz w:val="14"/>
          <w:szCs w:val="14"/>
          <w:color w:val="auto"/>
        </w:rPr>
      </w:pPr>
    </w:p>
    <w:p>
      <w:pPr>
        <w:ind w:left="1260" w:right="1019" w:hanging="179"/>
        <w:spacing w:after="0" w:line="281" w:lineRule="auto"/>
        <w:tabs>
          <w:tab w:leader="none" w:pos="1260" w:val="left"/>
        </w:tabs>
        <w:numPr>
          <w:ilvl w:val="0"/>
          <w:numId w:val="94"/>
        </w:numPr>
        <w:rPr>
          <w:rFonts w:ascii="Times New Roman" w:cs="Times New Roman" w:eastAsia="Times New Roman" w:hAnsi="Times New Roman"/>
          <w:sz w:val="14"/>
          <w:szCs w:val="14"/>
          <w:color w:val="auto"/>
        </w:rPr>
      </w:pPr>
      <w:r>
        <w:rPr>
          <w:rFonts w:ascii="Arial" w:cs="Arial" w:eastAsia="Arial" w:hAnsi="Arial"/>
          <w:sz w:val="14"/>
          <w:szCs w:val="14"/>
          <w:color w:val="auto"/>
        </w:rPr>
        <w:t>any proxy, agreement, arrangement, understanding or relationship pursuant to which the stockholder or an affiliate has or shares a right to vote any shares of any class or series.</w:t>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To be timely, a stockholder must generally deliver notice:</w:t>
      </w:r>
    </w:p>
    <w:p>
      <w:pPr>
        <w:spacing w:after="0" w:line="86" w:lineRule="exact"/>
        <w:rPr>
          <w:sz w:val="20"/>
          <w:szCs w:val="20"/>
          <w:color w:val="auto"/>
        </w:rPr>
      </w:pPr>
    </w:p>
    <w:p>
      <w:pPr>
        <w:ind w:left="1260" w:right="659" w:hanging="179"/>
        <w:spacing w:after="0" w:line="246" w:lineRule="auto"/>
        <w:tabs>
          <w:tab w:leader="none" w:pos="126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in connection with an annual meeting of stockholders, not later than the close of business on the 90th day nor earlier than the opening of business on the 120th day before the anniversary date of the immediately preceding annual meeting of stockholders, but in the event that the date of the annual meeting is more than 30 days before or more than 60 days after the anniversary date of the preceding annual meeting of stockholders or we did not have an annual meeting in the preceding year, a stockholder notice will be timely if received by us not earlier than the opening of business on the 120th day prior to the date of the annual meeting and not later than (i) the close of business on the 90th day prior to such annual meeting, or (ii) if later, the close of business on the 10th day following the day on which we first publicly announce the date of the annual meeting; or</w:t>
      </w:r>
    </w:p>
    <w:p>
      <w:pPr>
        <w:spacing w:after="0" w:line="53" w:lineRule="exact"/>
        <w:rPr>
          <w:rFonts w:ascii="Times New Roman" w:cs="Times New Roman" w:eastAsia="Times New Roman" w:hAnsi="Times New Roman"/>
          <w:sz w:val="14"/>
          <w:szCs w:val="14"/>
          <w:color w:val="auto"/>
        </w:rPr>
      </w:pPr>
    </w:p>
    <w:p>
      <w:pPr>
        <w:ind w:left="1260" w:right="759" w:hanging="179"/>
        <w:spacing w:after="0" w:line="281" w:lineRule="auto"/>
        <w:tabs>
          <w:tab w:leader="none" w:pos="126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in connection with the election of a director at a special meeting of stockholders, the 10th day following the day on which public disclosure of such special meeting was first made.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7" w:name="page218"/>
    <w:bookmarkEnd w:id="21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919" w:firstLine="443"/>
        <w:spacing w:after="0" w:line="254" w:lineRule="auto"/>
        <w:rPr>
          <w:sz w:val="20"/>
          <w:szCs w:val="20"/>
          <w:color w:val="auto"/>
        </w:rPr>
      </w:pPr>
      <w:r>
        <w:rPr>
          <w:rFonts w:ascii="Arial" w:cs="Arial" w:eastAsia="Arial" w:hAnsi="Arial"/>
          <w:sz w:val="14"/>
          <w:szCs w:val="14"/>
          <w:color w:val="auto"/>
        </w:rPr>
        <w:t>In order to submit a nomination for our board of directors or bring another proposal before a meeting of stockholders, a stockholder must also submit all information with respect to the nominee or the proposal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Limitation of Liability of Directors and Officers</w:t>
      </w:r>
    </w:p>
    <w:p>
      <w:pPr>
        <w:spacing w:after="0" w:line="86" w:lineRule="exact"/>
        <w:rPr>
          <w:sz w:val="20"/>
          <w:szCs w:val="20"/>
          <w:color w:val="auto"/>
        </w:rPr>
      </w:pPr>
    </w:p>
    <w:p>
      <w:pPr>
        <w:ind w:left="640" w:right="739" w:firstLine="443"/>
        <w:spacing w:after="0" w:line="261" w:lineRule="auto"/>
        <w:rPr>
          <w:sz w:val="20"/>
          <w:szCs w:val="20"/>
          <w:color w:val="auto"/>
        </w:rPr>
      </w:pPr>
      <w:r>
        <w:rPr>
          <w:rFonts w:ascii="Arial" w:cs="Arial" w:eastAsia="Arial" w:hAnsi="Arial"/>
          <w:sz w:val="14"/>
          <w:szCs w:val="14"/>
          <w:color w:val="auto"/>
        </w:rPr>
        <w:t>Our Certificate of Incorporation will provide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w:t>
      </w:r>
    </w:p>
    <w:p>
      <w:pPr>
        <w:spacing w:after="0" w:line="44" w:lineRule="exact"/>
        <w:rPr>
          <w:sz w:val="20"/>
          <w:szCs w:val="20"/>
          <w:color w:val="auto"/>
        </w:rPr>
      </w:pPr>
    </w:p>
    <w:p>
      <w:pPr>
        <w:ind w:left="640" w:right="719" w:firstLine="443"/>
        <w:spacing w:after="0" w:line="250" w:lineRule="auto"/>
        <w:rPr>
          <w:sz w:val="20"/>
          <w:szCs w:val="20"/>
          <w:color w:val="auto"/>
        </w:rPr>
      </w:pPr>
      <w:r>
        <w:rPr>
          <w:rFonts w:ascii="Arial" w:cs="Arial" w:eastAsia="Arial" w:hAnsi="Arial"/>
          <w:sz w:val="14"/>
          <w:szCs w:val="14"/>
          <w:color w:val="auto"/>
        </w:rPr>
        <w:t>In addition, our Certificate of Incorporation will contain provisions that limit the liability of our directors and officers for monetary damages to the fullest extent permitted by law. As a result, neither we, nor our stockholders through stockholders’ derivative suits on our behalf, will have the right to recover monetary damages against a director or officer for breach of fiduciary duty as a director or officer, including breaches resulting from grossly negligent behavior, except to the extent required by law.</w:t>
      </w:r>
    </w:p>
    <w:p>
      <w:pPr>
        <w:spacing w:after="0" w:line="53" w:lineRule="exact"/>
        <w:rPr>
          <w:sz w:val="20"/>
          <w:szCs w:val="20"/>
          <w:color w:val="auto"/>
        </w:rPr>
      </w:pPr>
    </w:p>
    <w:p>
      <w:pPr>
        <w:ind w:left="640" w:right="779" w:firstLine="443"/>
        <w:spacing w:after="0" w:line="282" w:lineRule="auto"/>
        <w:rPr>
          <w:sz w:val="20"/>
          <w:szCs w:val="20"/>
          <w:color w:val="auto"/>
        </w:rPr>
      </w:pPr>
      <w:r>
        <w:rPr>
          <w:rFonts w:ascii="Arial" w:cs="Arial" w:eastAsia="Arial" w:hAnsi="Arial"/>
          <w:sz w:val="14"/>
          <w:szCs w:val="14"/>
          <w:color w:val="auto"/>
        </w:rPr>
        <w:t>Amending the foregoing provisions will not reduce our indemnification obligations relating to, or the exculpation of our officers and directors for, actions taken before an amendment.</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Forum Selection</w:t>
      </w:r>
    </w:p>
    <w:p>
      <w:pPr>
        <w:spacing w:after="0" w:line="86"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Our Certificate of Incorporation requires, to the fullest extent permitted by law, that derivative actions brought in our name, actions against directors, officers and employees for breach of fiduciary duty, arising pursuant to any provision of the DGCL, Certificate of Incorporation or Bylaws, or governed by the internal affairs doctrine, or actions brought by stockholders that do not constitute internal corporate claims under the DGCL, if such claim relates to our business, the conduct of our affairs, or our rights or powers or our stockholders, directors or officers,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Anti-Takeover Provisions</w:t>
      </w:r>
    </w:p>
    <w:p>
      <w:pPr>
        <w:spacing w:after="0" w:line="86"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Certain provisions of Delaware law, along with our Certificate of Incorporation and our Bylaws, as will take effect immediately prior to the completion of this offering, may have the effect of delaying, deferring, or discouraging (i) acquiring control of our company by means of a proxy contest, tender offer or otherwise; or (ii) removing our incumbent officers and directors. These provisions, as well as our staggered board and ability to issue preferred stock, are expected to discourage coercive takeover practices and inadequate 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our common stock at prices higher than prevailing market prices.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Delaware Law</w:t>
      </w:r>
    </w:p>
    <w:p>
      <w:pPr>
        <w:spacing w:after="0" w:line="86" w:lineRule="exact"/>
        <w:rPr>
          <w:sz w:val="20"/>
          <w:szCs w:val="20"/>
          <w:color w:val="auto"/>
        </w:rPr>
      </w:pPr>
    </w:p>
    <w:p>
      <w:pPr>
        <w:ind w:left="640" w:right="779" w:firstLine="443"/>
        <w:spacing w:after="0" w:line="247" w:lineRule="auto"/>
        <w:rPr>
          <w:sz w:val="20"/>
          <w:szCs w:val="20"/>
          <w:color w:val="auto"/>
        </w:rPr>
      </w:pPr>
      <w:r>
        <w:rPr>
          <w:rFonts w:ascii="Arial" w:cs="Arial" w:eastAsia="Arial" w:hAnsi="Arial"/>
          <w:sz w:val="14"/>
          <w:szCs w:val="14"/>
          <w:color w:val="auto"/>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Transfer Agent and Registrar</w:t>
      </w:r>
    </w:p>
    <w:p>
      <w:pPr>
        <w:spacing w:after="0" w:line="86" w:lineRule="exact"/>
        <w:rPr>
          <w:sz w:val="20"/>
          <w:szCs w:val="20"/>
          <w:color w:val="auto"/>
        </w:rPr>
      </w:pPr>
    </w:p>
    <w:p>
      <w:pPr>
        <w:ind w:left="640" w:right="759" w:firstLine="443"/>
        <w:spacing w:after="0" w:line="282" w:lineRule="auto"/>
        <w:rPr>
          <w:sz w:val="20"/>
          <w:szCs w:val="20"/>
          <w:color w:val="auto"/>
        </w:rPr>
      </w:pPr>
      <w:r>
        <w:rPr>
          <w:rFonts w:ascii="Arial" w:cs="Arial" w:eastAsia="Arial" w:hAnsi="Arial"/>
          <w:sz w:val="14"/>
          <w:szCs w:val="14"/>
          <w:color w:val="auto"/>
        </w:rPr>
        <w:t>Upon the completion of this offering, the transfer agent and registrar for our common stock will be Computershare Trust Company, N.A. The transfer agent and registrar’s address is 250 Royall Street, Canton, MA 02021.</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Listing</w:t>
      </w:r>
    </w:p>
    <w:p>
      <w:pPr>
        <w:spacing w:after="0" w:line="86" w:lineRule="exact"/>
        <w:rPr>
          <w:sz w:val="20"/>
          <w:szCs w:val="20"/>
          <w:color w:val="auto"/>
        </w:rPr>
      </w:pPr>
    </w:p>
    <w:p>
      <w:pPr>
        <w:ind w:left="640" w:right="819" w:firstLine="443"/>
        <w:spacing w:after="0" w:line="261" w:lineRule="auto"/>
        <w:rPr>
          <w:sz w:val="20"/>
          <w:szCs w:val="20"/>
          <w:color w:val="auto"/>
        </w:rPr>
      </w:pPr>
      <w:r>
        <w:rPr>
          <w:rFonts w:ascii="Arial" w:cs="Arial" w:eastAsia="Arial" w:hAnsi="Arial"/>
          <w:sz w:val="14"/>
          <w:szCs w:val="14"/>
          <w:color w:val="auto"/>
        </w:rPr>
        <w:t>We have applied to list our common stock on the Nasdaq under the symbol “ODTX.” We believe that upon the completion of this offering, we will meet the standards for listing on Nasdaq, and the closing of this offering is contingent upon such listing.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8" w:name="page219"/>
    <w:bookmarkEnd w:id="21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SHARES ELIGIBLE FOR FUTURE SALE</w:t>
      </w:r>
    </w:p>
    <w:p>
      <w:pPr>
        <w:spacing w:after="0" w:line="86"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54"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Upon the completion of this offering, based on the number of shares of our capital stock outstanding as of December 31, 2025,         shares of our common stock will be outstanding, including 1,618,376 shares of unvested restricted common stock, after giving effect to (i) the conversion of all outstanding shares of our convertible preferred stock into an aggregate of 238,999,327 shares of our common stock immediately prior to the closing of this offering, (ii) the automatic exercise of the Common Stock Warrants, on a net exercise basis, into an aggregate of 32,142,070 shares of our common stock immediately prior to the closing of this offering and (iii) the conversion of our non-voting stock into an aggregate of 81,240 shares of our common stock upon the closing of this offering, and assuming no exercise of the underwriters’ option to purchase additional shares and no exercise of outstanding options or other securities. Of these outstanding shares, all of the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57"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The shares of our common stock that were outstanding and not sold in this offering will be, and shares subject to stock options will, upon issuance,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All of our officers and directors and holders of substantially all of our capital stock and securities exchangeable or exercisable for our capital stock have entered lock-up agreements with the underwriters under which they have agreed, subject to certain customary exceptions, not to sell any of our stock for 180 days following the date of this prospectus. As a result of these agreements and subject to the provisions of Rule 144 or Rule 701 under the Securities Act, shares of our common stock will be available for sale in the public market as follows:</w:t>
      </w:r>
    </w:p>
    <w:p>
      <w:pPr>
        <w:spacing w:after="0" w:line="57" w:lineRule="exact"/>
        <w:rPr>
          <w:sz w:val="20"/>
          <w:szCs w:val="20"/>
          <w:color w:val="auto"/>
        </w:rPr>
      </w:pPr>
    </w:p>
    <w:p>
      <w:pPr>
        <w:ind w:left="1260" w:right="959" w:hanging="179"/>
        <w:spacing w:after="0" w:line="281" w:lineRule="auto"/>
        <w:tabs>
          <w:tab w:leader="none" w:pos="126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beginning on the date of this prospectus, all        shares of our common stock sold in this offering will be immediately available for sale in the public market; and</w:t>
      </w:r>
    </w:p>
    <w:p>
      <w:pPr>
        <w:spacing w:after="0" w:line="30" w:lineRule="exact"/>
        <w:rPr>
          <w:rFonts w:ascii="Times New Roman" w:cs="Times New Roman" w:eastAsia="Times New Roman" w:hAnsi="Times New Roman"/>
          <w:sz w:val="14"/>
          <w:szCs w:val="14"/>
          <w:color w:val="auto"/>
        </w:rPr>
      </w:pPr>
    </w:p>
    <w:p>
      <w:pPr>
        <w:ind w:left="1260" w:right="699" w:hanging="179"/>
        <w:spacing w:after="0" w:line="260" w:lineRule="auto"/>
        <w:tabs>
          <w:tab w:leader="none" w:pos="126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beginning 180 days after the date of this prospectus,        shares of our common stock will be eligible for sale in the public market from time to time thereafter, subject in some cases to the volume and other restrictions of Rule 144 under the Securities Act, as described below.</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Lock-Up Agreements</w:t>
      </w:r>
    </w:p>
    <w:p>
      <w:pPr>
        <w:spacing w:after="0" w:line="86" w:lineRule="exact"/>
        <w:rPr>
          <w:sz w:val="20"/>
          <w:szCs w:val="20"/>
          <w:color w:val="auto"/>
        </w:rPr>
      </w:pPr>
    </w:p>
    <w:p>
      <w:pPr>
        <w:ind w:left="640" w:right="699" w:firstLine="443"/>
        <w:spacing w:after="0" w:line="247" w:lineRule="auto"/>
        <w:rPr>
          <w:sz w:val="20"/>
          <w:szCs w:val="20"/>
          <w:color w:val="auto"/>
        </w:rPr>
      </w:pPr>
      <w:r>
        <w:rPr>
          <w:rFonts w:ascii="Arial" w:cs="Arial" w:eastAsia="Arial" w:hAnsi="Arial"/>
          <w:sz w:val="14"/>
          <w:szCs w:val="14"/>
          <w:color w:val="auto"/>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transferring any of our common stock or any securities convertible into or exercisable or exchangeable for common stock for a period of not less than 180 days from the date of this prospectus without the prior written consent of J.P. Morgan Securities LLC, TD Securities (USA) LLC and Cantor Fitzgerald &amp; Co., subject to certain exceptions. See the section of this prospectus titled “</w:t>
      </w:r>
      <w:r>
        <w:rPr>
          <w:rFonts w:ascii="Arial" w:cs="Arial" w:eastAsia="Arial" w:hAnsi="Arial"/>
          <w:sz w:val="14"/>
          <w:szCs w:val="14"/>
          <w:i w:val="1"/>
          <w:iCs w:val="1"/>
          <w:color w:val="auto"/>
        </w:rPr>
        <w:t>Underwriting</w:t>
      </w:r>
      <w:r>
        <w:rPr>
          <w:rFonts w:ascii="Arial" w:cs="Arial" w:eastAsia="Arial" w:hAnsi="Arial"/>
          <w:sz w:val="14"/>
          <w:szCs w:val="14"/>
          <w:color w:val="auto"/>
        </w:rPr>
        <w:t>” included elsewhere in this prospectus for more information.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Rule 144</w:t>
      </w:r>
    </w:p>
    <w:p>
      <w:pPr>
        <w:spacing w:after="0" w:line="86" w:lineRule="exact"/>
        <w:rPr>
          <w:sz w:val="20"/>
          <w:szCs w:val="20"/>
          <w:color w:val="auto"/>
        </w:rPr>
      </w:pPr>
    </w:p>
    <w:p>
      <w:pPr>
        <w:ind w:left="640" w:right="719" w:firstLine="443"/>
        <w:spacing w:after="0" w:line="246" w:lineRule="auto"/>
        <w:rPr>
          <w:sz w:val="20"/>
          <w:szCs w:val="20"/>
          <w:color w:val="auto"/>
        </w:rPr>
      </w:pPr>
      <w:r>
        <w:rPr>
          <w:rFonts w:ascii="Arial" w:cs="Arial" w:eastAsia="Arial" w:hAnsi="Arial"/>
          <w:sz w:val="14"/>
          <w:szCs w:val="14"/>
          <w:color w:val="auto"/>
        </w:rPr>
        <w:t>In general, under Rule 144 under the Securities Act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9" w:name="page220"/>
    <w:bookmarkEnd w:id="21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39" w:firstLine="443"/>
        <w:spacing w:after="0" w:line="261" w:lineRule="auto"/>
        <w:rPr>
          <w:sz w:val="20"/>
          <w:szCs w:val="20"/>
          <w:color w:val="auto"/>
        </w:rPr>
      </w:pPr>
      <w:r>
        <w:rPr>
          <w:rFonts w:ascii="Arial" w:cs="Arial" w:eastAsia="Arial" w:hAnsi="Arial"/>
          <w:sz w:val="14"/>
          <w:szCs w:val="14"/>
          <w:color w:val="auto"/>
        </w:rPr>
        <w:t>In general, under Rule 144, as currently in effect, our affiliates or persons selling shares of our common stock on behalf of our affiliates are entitled to sell upon expiration of the market standoff agreements and lock-up agreements described above, within any three-month period, a number of shares that does not exceed the greater of:</w:t>
      </w:r>
    </w:p>
    <w:p>
      <w:pPr>
        <w:spacing w:after="0" w:line="44" w:lineRule="exact"/>
        <w:rPr>
          <w:sz w:val="20"/>
          <w:szCs w:val="20"/>
          <w:color w:val="auto"/>
        </w:rPr>
      </w:pPr>
    </w:p>
    <w:p>
      <w:pPr>
        <w:ind w:left="1260" w:right="719" w:hanging="179"/>
        <w:spacing w:after="0" w:line="281" w:lineRule="auto"/>
        <w:tabs>
          <w:tab w:leader="none" w:pos="12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1% of the number of shares of our capital stock then outstanding, which will equal         shares immediately after this offering, assuming no exercise of the underwriters’ option to purchase additional shares; or</w:t>
      </w:r>
    </w:p>
    <w:p>
      <w:pPr>
        <w:spacing w:after="0" w:line="30" w:lineRule="exact"/>
        <w:rPr>
          <w:sz w:val="20"/>
          <w:szCs w:val="20"/>
          <w:color w:val="auto"/>
        </w:rPr>
      </w:pPr>
    </w:p>
    <w:p>
      <w:pPr>
        <w:ind w:left="1260" w:right="659" w:hanging="179"/>
        <w:spacing w:after="0" w:line="281" w:lineRule="auto"/>
        <w:tabs>
          <w:tab w:leader="none" w:pos="1260" w:val="left"/>
        </w:tabs>
        <w:numPr>
          <w:ilvl w:val="0"/>
          <w:numId w:val="97"/>
        </w:numPr>
        <w:rPr>
          <w:rFonts w:ascii="Times New Roman" w:cs="Times New Roman" w:eastAsia="Times New Roman" w:hAnsi="Times New Roman"/>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that sale.</w:t>
      </w:r>
    </w:p>
    <w:p>
      <w:pPr>
        <w:spacing w:after="0" w:line="30" w:lineRule="exact"/>
        <w:rPr>
          <w:sz w:val="20"/>
          <w:szCs w:val="20"/>
          <w:color w:val="auto"/>
        </w:rPr>
      </w:pPr>
    </w:p>
    <w:p>
      <w:pPr>
        <w:ind w:left="640" w:right="719" w:firstLine="443"/>
        <w:spacing w:after="0" w:line="261" w:lineRule="auto"/>
        <w:rPr>
          <w:sz w:val="20"/>
          <w:szCs w:val="20"/>
          <w:color w:val="auto"/>
        </w:rPr>
      </w:pPr>
      <w:r>
        <w:rPr>
          <w:rFonts w:ascii="Arial" w:cs="Arial" w:eastAsia="Arial" w:hAnsi="Arial"/>
          <w:sz w:val="14"/>
          <w:szCs w:val="14"/>
          <w:color w:val="auto"/>
        </w:rPr>
        <w:t>Sales under Rule 144 by our affiliates or persons selling shares of our common stock on behalf of our affiliates are also subject to manner of sale provisions and notice requirements and to the availability of current public information about us.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Rule 701</w:t>
      </w:r>
    </w:p>
    <w:p>
      <w:pPr>
        <w:spacing w:after="0" w:line="86"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Rule 701 under the Securities Act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Registration Statement on Form S-8</w:t>
      </w:r>
    </w:p>
    <w:p>
      <w:pPr>
        <w:spacing w:after="0" w:line="86"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We intend to file one or more registration statements on Form S-8 under the Securities Act promptly to register shares of our common stock subject to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of this prospectus titled “</w:t>
      </w:r>
      <w:r>
        <w:rPr>
          <w:rFonts w:ascii="Arial" w:cs="Arial" w:eastAsia="Arial" w:hAnsi="Arial"/>
          <w:sz w:val="14"/>
          <w:szCs w:val="14"/>
          <w:i w:val="1"/>
          <w:iCs w:val="1"/>
          <w:color w:val="auto"/>
        </w:rPr>
        <w:t>Executive Compensation—Equity Benefit</w:t>
      </w:r>
      <w:r>
        <w:rPr>
          <w:rFonts w:ascii="Arial" w:cs="Arial" w:eastAsia="Arial" w:hAnsi="Arial"/>
          <w:sz w:val="14"/>
          <w:szCs w:val="14"/>
          <w:color w:val="auto"/>
        </w:rPr>
        <w:t xml:space="preserve"> </w:t>
      </w:r>
      <w:r>
        <w:rPr>
          <w:rFonts w:ascii="Arial" w:cs="Arial" w:eastAsia="Arial" w:hAnsi="Arial"/>
          <w:sz w:val="14"/>
          <w:szCs w:val="14"/>
          <w:i w:val="1"/>
          <w:iCs w:val="1"/>
          <w:color w:val="auto"/>
        </w:rPr>
        <w:t>Plans</w:t>
      </w:r>
      <w:r>
        <w:rPr>
          <w:rFonts w:ascii="Arial" w:cs="Arial" w:eastAsia="Arial" w:hAnsi="Arial"/>
          <w:sz w:val="14"/>
          <w:szCs w:val="14"/>
          <w:color w:val="auto"/>
        </w:rPr>
        <w:t>” for a description of our equity compensation plans.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Registration Rights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Upon the closing of this offering, pursuant to our Third A&amp;R Rights Agreement, the holders of approximately</w:t>
      </w:r>
    </w:p>
    <w:p>
      <w:pPr>
        <w:spacing w:after="0" w:line="14" w:lineRule="exact"/>
        <w:rPr>
          <w:sz w:val="20"/>
          <w:szCs w:val="20"/>
          <w:color w:val="auto"/>
        </w:rPr>
      </w:pPr>
    </w:p>
    <w:p>
      <w:pPr>
        <w:ind w:left="640" w:right="739"/>
        <w:spacing w:after="0" w:line="243" w:lineRule="auto"/>
        <w:rPr>
          <w:sz w:val="20"/>
          <w:szCs w:val="20"/>
          <w:color w:val="auto"/>
        </w:rPr>
      </w:pPr>
      <w:r>
        <w:rPr>
          <w:rFonts w:ascii="Arial" w:cs="Arial" w:eastAsia="Arial" w:hAnsi="Arial"/>
          <w:sz w:val="14"/>
          <w:szCs w:val="14"/>
          <w:color w:val="auto"/>
        </w:rPr>
        <w:t>        shares of our common stock, or their transferees, will be entitled to certain rights with respect to the registration of the offer and sale of their shares under the Securities Act, subject to the terms of the lock-up agreements described under the subsection titled “—</w:t>
      </w:r>
      <w:r>
        <w:rPr>
          <w:rFonts w:ascii="Arial" w:cs="Arial" w:eastAsia="Arial" w:hAnsi="Arial"/>
          <w:sz w:val="14"/>
          <w:szCs w:val="14"/>
          <w:i w:val="1"/>
          <w:iCs w:val="1"/>
          <w:color w:val="auto"/>
        </w:rPr>
        <w:t>Lock-Up Agreements</w:t>
      </w:r>
      <w:r>
        <w:rPr>
          <w:rFonts w:ascii="Arial" w:cs="Arial" w:eastAsia="Arial" w:hAnsi="Arial"/>
          <w:sz w:val="14"/>
          <w:szCs w:val="14"/>
          <w:color w:val="auto"/>
        </w:rPr>
        <w:t>” above. Registration of these shares under the Securities Act would result in the shares becoming freely tradable without restriction under the Securities Act immediately upon the effectiveness of the relevant registration statement. Any sales of securities by these stockholders could have a material adverse effect on the trading price of our common stock. See the section of this prospectus titled “</w:t>
      </w:r>
      <w:r>
        <w:rPr>
          <w:rFonts w:ascii="Arial" w:cs="Arial" w:eastAsia="Arial" w:hAnsi="Arial"/>
          <w:sz w:val="14"/>
          <w:szCs w:val="14"/>
          <w:i w:val="1"/>
          <w:iCs w:val="1"/>
          <w:color w:val="auto"/>
        </w:rPr>
        <w:t>Description of Capital</w:t>
      </w:r>
      <w:r>
        <w:rPr>
          <w:rFonts w:ascii="Arial" w:cs="Arial" w:eastAsia="Arial" w:hAnsi="Arial"/>
          <w:sz w:val="14"/>
          <w:szCs w:val="14"/>
          <w:color w:val="auto"/>
        </w:rPr>
        <w:t xml:space="preserve"> </w:t>
      </w:r>
      <w:r>
        <w:rPr>
          <w:rFonts w:ascii="Arial" w:cs="Arial" w:eastAsia="Arial" w:hAnsi="Arial"/>
          <w:sz w:val="14"/>
          <w:szCs w:val="14"/>
          <w:i w:val="1"/>
          <w:iCs w:val="1"/>
          <w:color w:val="auto"/>
        </w:rPr>
        <w:t>Stock—Registration Rights</w:t>
      </w:r>
      <w:r>
        <w:rPr>
          <w:rFonts w:ascii="Arial" w:cs="Arial" w:eastAsia="Arial" w:hAnsi="Arial"/>
          <w:sz w:val="14"/>
          <w:szCs w:val="14"/>
          <w:color w:val="auto"/>
        </w:rPr>
        <w:t>” for additional information.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0" w:name="page221"/>
    <w:bookmarkEnd w:id="22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MATERIAL U.S. FEDERAL INCOME TAX CONSEQUENCES TO NON-U.S. HOLDERS</w:t>
      </w:r>
    </w:p>
    <w:p>
      <w:pPr>
        <w:spacing w:after="0" w:line="86"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The following is a summary of the material U.S. federal income tax consequences to non-U.S. holders (as defined below) of the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any alternative minimum tax, the special tax accounting rules under Section 451(b) of the Code, any estate or gift tax consequences (other than those specifically set forth below) or any tax consequences arising under any state, local or foreign tax laws, or any other U.S. federal tax laws. This discussion is based on the Code, Treasury Regulations promulgated or proposed thereunder, judicial decisions and published rulings and administrative pronouncements of the Internal Revenue Service, or the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55" w:lineRule="exact"/>
        <w:rPr>
          <w:sz w:val="20"/>
          <w:szCs w:val="20"/>
          <w:color w:val="auto"/>
        </w:rPr>
      </w:pPr>
    </w:p>
    <w:p>
      <w:pPr>
        <w:ind w:left="640" w:right="759" w:firstLine="443"/>
        <w:spacing w:after="0" w:line="248" w:lineRule="auto"/>
        <w:rPr>
          <w:sz w:val="20"/>
          <w:szCs w:val="20"/>
          <w:color w:val="auto"/>
        </w:rPr>
      </w:pPr>
      <w:r>
        <w:rPr>
          <w:rFonts w:ascii="Arial" w:cs="Arial" w:eastAsia="Arial" w:hAnsi="Arial"/>
          <w:sz w:val="14"/>
          <w:szCs w:val="14"/>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holder in light of such holder’s particular circumstances. This discussion also does not consider any specific facts or circumstances that may be relevant to non-U.S. holders subject to special rules under U.S. federal income tax laws, including:</w:t>
      </w:r>
    </w:p>
    <w:p>
      <w:pPr>
        <w:spacing w:after="0" w:line="54" w:lineRule="exact"/>
        <w:rPr>
          <w:sz w:val="20"/>
          <w:szCs w:val="20"/>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certain former citizens or long-term residents of the United States;</w:t>
      </w:r>
    </w:p>
    <w:p>
      <w:pPr>
        <w:spacing w:after="0" w:line="96" w:lineRule="exact"/>
        <w:rPr>
          <w:rFonts w:ascii="Times New Roman" w:cs="Times New Roman" w:eastAsia="Times New Roman" w:hAnsi="Times New Roman"/>
          <w:sz w:val="14"/>
          <w:szCs w:val="14"/>
          <w:color w:val="auto"/>
        </w:rPr>
      </w:pPr>
    </w:p>
    <w:p>
      <w:pPr>
        <w:ind w:left="1260" w:right="111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partnerships or other entities or arrangements treated as partnerships or other pass-through entities (and investors therein);</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“controlled foreign corporations”;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“passive foreign investment companies”;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corporations that accumulate earnings to avoid U.S. federal income tax;</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banks, financial institutions, investment funds, insurance companies, brokers, dealers or traders in securities;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tax-exempt organizations, governmental organizations and sovereign wealth funds;</w:t>
      </w:r>
    </w:p>
    <w:p>
      <w:pPr>
        <w:spacing w:after="0" w:line="96"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tax-qualified retirement plans;</w:t>
      </w:r>
    </w:p>
    <w:p>
      <w:pPr>
        <w:spacing w:after="0" w:line="96" w:lineRule="exact"/>
        <w:rPr>
          <w:rFonts w:ascii="Times New Roman" w:cs="Times New Roman" w:eastAsia="Times New Roman" w:hAnsi="Times New Roman"/>
          <w:sz w:val="14"/>
          <w:szCs w:val="14"/>
          <w:color w:val="auto"/>
        </w:rPr>
      </w:pPr>
    </w:p>
    <w:p>
      <w:pPr>
        <w:ind w:left="1260" w:right="113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persons who hold or receive our common stock pursuant to the exercise of any employee stock option or otherwise as compensation;</w:t>
      </w:r>
    </w:p>
    <w:p>
      <w:pPr>
        <w:spacing w:after="0" w:line="30" w:lineRule="exact"/>
        <w:rPr>
          <w:rFonts w:ascii="Times New Roman" w:cs="Times New Roman" w:eastAsia="Times New Roman" w:hAnsi="Times New Roman"/>
          <w:sz w:val="14"/>
          <w:szCs w:val="14"/>
          <w:color w:val="auto"/>
        </w:rPr>
      </w:pPr>
    </w:p>
    <w:p>
      <w:pPr>
        <w:ind w:left="1260" w:right="97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persons who hold common stock that constitutes “qualified small business stock” under Section 1202 of the Code or “Section 1244 stock” under Section 1244 of the Code;</w:t>
      </w:r>
    </w:p>
    <w:p>
      <w:pPr>
        <w:spacing w:after="0" w:line="30" w:lineRule="exact"/>
        <w:rPr>
          <w:rFonts w:ascii="Times New Roman" w:cs="Times New Roman" w:eastAsia="Times New Roman" w:hAnsi="Times New Roman"/>
          <w:sz w:val="14"/>
          <w:szCs w:val="14"/>
          <w:color w:val="auto"/>
        </w:rPr>
      </w:pPr>
    </w:p>
    <w:p>
      <w:pPr>
        <w:ind w:left="1260" w:right="95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persons who acquired our common stock in a transaction subject to the gain rollover provisions of the Code (including Section 1045 of the Code);</w:t>
      </w:r>
    </w:p>
    <w:p>
      <w:pPr>
        <w:spacing w:after="0" w:line="30" w:lineRule="exact"/>
        <w:rPr>
          <w:rFonts w:ascii="Times New Roman" w:cs="Times New Roman" w:eastAsia="Times New Roman" w:hAnsi="Times New Roman"/>
          <w:sz w:val="14"/>
          <w:szCs w:val="14"/>
          <w:color w:val="auto"/>
        </w:rPr>
      </w:pPr>
    </w:p>
    <w:p>
      <w:pPr>
        <w:ind w:left="1260" w:right="115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persons that acquired our common stock pursuant to the exercise of warrants or conversion rights under convertible instruments;</w:t>
      </w:r>
    </w:p>
    <w:p>
      <w:pPr>
        <w:spacing w:after="0" w:line="30" w:lineRule="exact"/>
        <w:rPr>
          <w:rFonts w:ascii="Times New Roman" w:cs="Times New Roman" w:eastAsia="Times New Roman" w:hAnsi="Times New Roman"/>
          <w:sz w:val="14"/>
          <w:szCs w:val="14"/>
          <w:color w:val="auto"/>
        </w:rPr>
      </w:pPr>
    </w:p>
    <w:p>
      <w:pPr>
        <w:ind w:left="1260" w:right="89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“qualified foreign pension funds” as defined in Section 897(l)(2) of the Code and entities all of the interests of which are held by qualified foreign pension funds;</w:t>
      </w:r>
    </w:p>
    <w:p>
      <w:pPr>
        <w:spacing w:after="0" w:line="30" w:lineRule="exact"/>
        <w:rPr>
          <w:rFonts w:ascii="Times New Roman" w:cs="Times New Roman" w:eastAsia="Times New Roman" w:hAnsi="Times New Roman"/>
          <w:sz w:val="14"/>
          <w:szCs w:val="14"/>
          <w:color w:val="auto"/>
        </w:rPr>
      </w:pPr>
    </w:p>
    <w:p>
      <w:pPr>
        <w:ind w:left="1260" w:right="99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persons that own or have owned, actually or constructively (whether or not for USRPHC, as defined below, purposes), more than 5% of our common stock;</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persons who have elected to mark securities to market; and</w:t>
      </w:r>
    </w:p>
    <w:p>
      <w:pPr>
        <w:spacing w:after="0" w:line="96" w:lineRule="exact"/>
        <w:rPr>
          <w:rFonts w:ascii="Times New Roman" w:cs="Times New Roman" w:eastAsia="Times New Roman" w:hAnsi="Times New Roman"/>
          <w:sz w:val="14"/>
          <w:szCs w:val="14"/>
          <w:color w:val="auto"/>
        </w:rPr>
      </w:pPr>
    </w:p>
    <w:p>
      <w:pPr>
        <w:ind w:left="1260" w:right="699" w:hanging="179"/>
        <w:spacing w:after="0" w:line="281" w:lineRule="auto"/>
        <w:tabs>
          <w:tab w:leader="none" w:pos="126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persons holding our common stock as part of a hedging or conversion transaction or straddle, constructive sale, or other risk reduction strategy or integrated investment.</w:t>
      </w:r>
    </w:p>
    <w:p>
      <w:pPr>
        <w:spacing w:after="0" w:line="30" w:lineRule="exact"/>
        <w:rPr>
          <w:sz w:val="20"/>
          <w:szCs w:val="20"/>
          <w:color w:val="auto"/>
        </w:rPr>
      </w:pPr>
    </w:p>
    <w:p>
      <w:pPr>
        <w:ind w:left="640" w:right="699" w:firstLine="443"/>
        <w:spacing w:after="0" w:line="250" w:lineRule="auto"/>
        <w:rPr>
          <w:sz w:val="20"/>
          <w:szCs w:val="20"/>
          <w:color w:val="auto"/>
        </w:rPr>
      </w:pPr>
      <w:r>
        <w:rPr>
          <w:rFonts w:ascii="Arial" w:cs="Arial" w:eastAsia="Arial" w:hAnsi="Arial"/>
          <w:sz w:val="14"/>
          <w:szCs w:val="14"/>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1" w:name="page222"/>
    <w:bookmarkEnd w:id="22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39" w:firstLine="443"/>
        <w:spacing w:after="0" w:line="254" w:lineRule="auto"/>
        <w:rPr>
          <w:sz w:val="20"/>
          <w:szCs w:val="20"/>
          <w:color w:val="auto"/>
        </w:rPr>
      </w:pPr>
      <w:r>
        <w:rPr>
          <w:rFonts w:ascii="Arial" w:cs="Arial" w:eastAsia="Arial" w:hAnsi="Arial"/>
          <w:sz w:val="14"/>
          <w:szCs w:val="14"/>
          <w:color w:val="auto"/>
        </w:rPr>
        <w:t>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Definition of Non-U.S. Holder</w:t>
      </w:r>
    </w:p>
    <w:p>
      <w:pPr>
        <w:spacing w:after="0" w:line="86"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or a partnership (including any entity or arrangement treated as a partnership) or other pass-through entity for U.S. federal income tax purposes. A U.S. person is any person that, for U.S. federal income tax purposes, is or is treated as any of the following:</w:t>
      </w:r>
    </w:p>
    <w:p>
      <w:pPr>
        <w:spacing w:after="0" w:line="49" w:lineRule="exact"/>
        <w:rPr>
          <w:sz w:val="20"/>
          <w:szCs w:val="20"/>
          <w:color w:val="auto"/>
        </w:rPr>
      </w:pPr>
    </w:p>
    <w:p>
      <w:pPr>
        <w:ind w:left="1260" w:hanging="179"/>
        <w:spacing w:after="0"/>
        <w:tabs>
          <w:tab w:leader="none" w:pos="126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an individual who is a citizen or resident (including a “green card” holder) of the United States;</w:t>
      </w:r>
    </w:p>
    <w:p>
      <w:pPr>
        <w:spacing w:after="0" w:line="96" w:lineRule="exact"/>
        <w:rPr>
          <w:rFonts w:ascii="Times New Roman" w:cs="Times New Roman" w:eastAsia="Times New Roman" w:hAnsi="Times New Roman"/>
          <w:sz w:val="14"/>
          <w:szCs w:val="14"/>
          <w:color w:val="auto"/>
        </w:rPr>
      </w:pPr>
    </w:p>
    <w:p>
      <w:pPr>
        <w:ind w:left="1260" w:right="979" w:hanging="179"/>
        <w:spacing w:after="0" w:line="281" w:lineRule="auto"/>
        <w:tabs>
          <w:tab w:leader="none" w:pos="126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a corporation (including any entity treated as a corporation for U.S. federal income tax purposes) created or organized under the laws of the United States, any state thereof or the District of Columbia;</w:t>
      </w:r>
    </w:p>
    <w:p>
      <w:pPr>
        <w:spacing w:after="0" w:line="30" w:lineRule="exact"/>
        <w:rPr>
          <w:rFonts w:ascii="Times New Roman" w:cs="Times New Roman" w:eastAsia="Times New Roman" w:hAnsi="Times New Roman"/>
          <w:sz w:val="14"/>
          <w:szCs w:val="14"/>
          <w:color w:val="auto"/>
        </w:rPr>
      </w:pPr>
    </w:p>
    <w:p>
      <w:pPr>
        <w:ind w:left="1260" w:hanging="179"/>
        <w:spacing w:after="0"/>
        <w:tabs>
          <w:tab w:leader="none" w:pos="126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96" w:lineRule="exact"/>
        <w:rPr>
          <w:rFonts w:ascii="Times New Roman" w:cs="Times New Roman" w:eastAsia="Times New Roman" w:hAnsi="Times New Roman"/>
          <w:sz w:val="14"/>
          <w:szCs w:val="14"/>
          <w:color w:val="auto"/>
        </w:rPr>
      </w:pPr>
    </w:p>
    <w:p>
      <w:pPr>
        <w:ind w:left="1260" w:right="659" w:hanging="179"/>
        <w:spacing w:after="0" w:line="260" w:lineRule="auto"/>
        <w:tabs>
          <w:tab w:leader="none" w:pos="126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45"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If you are an individual who is not a 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53" w:lineRule="exact"/>
        <w:rPr>
          <w:sz w:val="20"/>
          <w:szCs w:val="20"/>
          <w:color w:val="auto"/>
        </w:rPr>
      </w:pPr>
    </w:p>
    <w:p>
      <w:pPr>
        <w:ind w:left="640" w:right="799" w:firstLine="443"/>
        <w:spacing w:after="0" w:line="254" w:lineRule="auto"/>
        <w:rPr>
          <w:sz w:val="20"/>
          <w:szCs w:val="20"/>
          <w:color w:val="auto"/>
        </w:rPr>
      </w:pPr>
      <w:r>
        <w:rPr>
          <w:rFonts w:ascii="Arial" w:cs="Arial" w:eastAsia="Arial" w:hAnsi="Arial"/>
          <w:sz w:val="14"/>
          <w:szCs w:val="14"/>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Distributions on Our Common Stock</w:t>
      </w:r>
    </w:p>
    <w:p>
      <w:pPr>
        <w:spacing w:after="0" w:line="86"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If we distribute cash or other property on our common stock, such distributions will constitute dividends for U.S. federal income tax purposes to the extent paid from our current or accumulated earnings and profits, as determined under U.S. federal income tax principles. Amounts distributed in excess of our current and accumulated earnings and profits will constitute a return of capital and will first be applied against and reduce a non-U.S. holder’s tax basis in our common stock, but not below zero. Any distribution in excess of the non-U.S. holder’s tax basis in our common stock will be treated as gain realized on the sale or other disposition of our common stock and will be treated as described in the section of this prospectus titled “—</w:t>
      </w:r>
      <w:r>
        <w:rPr>
          <w:rFonts w:ascii="Arial" w:cs="Arial" w:eastAsia="Arial" w:hAnsi="Arial"/>
          <w:sz w:val="14"/>
          <w:szCs w:val="14"/>
          <w:i w:val="1"/>
          <w:iCs w:val="1"/>
          <w:color w:val="auto"/>
        </w:rPr>
        <w:t>Gain on Disposition of Our Common Stock</w:t>
      </w:r>
      <w:r>
        <w:rPr>
          <w:rFonts w:ascii="Arial" w:cs="Arial" w:eastAsia="Arial" w:hAnsi="Arial"/>
          <w:sz w:val="14"/>
          <w:szCs w:val="14"/>
          <w:color w:val="auto"/>
        </w:rPr>
        <w:t>” below.</w:t>
      </w:r>
    </w:p>
    <w:p>
      <w:pPr>
        <w:spacing w:after="0" w:line="54"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the applicable withholding agent with a valid IRS Form W-8BEN or IRS Form W-8BEN-E (or other applicable successor form) certifying under penalties of perjury such non-U.S. holder’s qualification for the reduced rate.</w:t>
      </w:r>
    </w:p>
    <w:p>
      <w:pPr>
        <w:spacing w:after="0" w:line="54" w:lineRule="exact"/>
        <w:rPr>
          <w:sz w:val="20"/>
          <w:szCs w:val="20"/>
          <w:color w:val="auto"/>
        </w:rPr>
      </w:pPr>
    </w:p>
    <w:p>
      <w:pPr>
        <w:ind w:left="640" w:right="719" w:firstLine="443"/>
        <w:spacing w:after="0" w:line="250" w:lineRule="auto"/>
        <w:rPr>
          <w:sz w:val="20"/>
          <w:szCs w:val="20"/>
          <w:color w:val="auto"/>
        </w:rPr>
      </w:pPr>
      <w:r>
        <w:rPr>
          <w:rFonts w:ascii="Arial" w:cs="Arial" w:eastAsia="Arial" w:hAnsi="Arial"/>
          <w:sz w:val="14"/>
          <w:szCs w:val="14"/>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generally be exempt from U.S. federal withholding tax, provided that the non-U.S. holder furnishes a valid IRS Form W-8ECI (or applicable successor form) to the applicable withholding agent.</w:t>
      </w:r>
    </w:p>
    <w:p>
      <w:pPr>
        <w:spacing w:after="0" w:line="53"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However, any such effectively connected dividends paid on our common stock generally will be subject to U.S. federal income tax on a net (assuming a U.S. tax return is timely filed, otherwise gross)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2" w:name="page223"/>
    <w:bookmarkEnd w:id="22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839" w:firstLine="443"/>
        <w:spacing w:after="0" w:line="247" w:lineRule="auto"/>
        <w:rPr>
          <w:sz w:val="20"/>
          <w:szCs w:val="20"/>
          <w:color w:val="auto"/>
        </w:rPr>
      </w:pPr>
      <w:r>
        <w:rPr>
          <w:rFonts w:ascii="Arial" w:cs="Arial" w:eastAsia="Arial" w:hAnsi="Arial"/>
          <w:sz w:val="14"/>
          <w:szCs w:val="14"/>
          <w:color w:val="auto"/>
        </w:rPr>
        <w:t>The certification requirements described above must be provided to the applicable withholding agent prior to the payment of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 Special certification and other requirements apply in the case of certain non-U.S. holders that hold shares of our common stock through intermediaries or are pass-through entities for U.S. federal income tax purposes.</w:t>
      </w:r>
    </w:p>
    <w:p>
      <w:pPr>
        <w:spacing w:after="0" w:line="54" w:lineRule="exact"/>
        <w:rPr>
          <w:sz w:val="20"/>
          <w:szCs w:val="20"/>
          <w:color w:val="auto"/>
        </w:rPr>
      </w:pPr>
    </w:p>
    <w:p>
      <w:pPr>
        <w:ind w:left="640" w:right="779" w:firstLine="443"/>
        <w:spacing w:after="0" w:line="261" w:lineRule="auto"/>
        <w:rPr>
          <w:sz w:val="20"/>
          <w:szCs w:val="20"/>
          <w:color w:val="auto"/>
        </w:rPr>
      </w:pPr>
      <w:r>
        <w:rPr>
          <w:rFonts w:ascii="Arial" w:cs="Arial" w:eastAsia="Arial" w:hAnsi="Arial"/>
          <w:sz w:val="14"/>
          <w:szCs w:val="14"/>
          <w:color w:val="auto"/>
        </w:rPr>
        <w:t>Each non-U.S. holder is urged to consult its own tax advisor about the specific methods for satisfying these requirements. A claim for exemption or reduction in tax withholding will not be valid if the person receiving the applicable form has actual knowledge or reason to know that the statements on the form are false.</w:t>
      </w:r>
    </w:p>
    <w:p>
      <w:pPr>
        <w:spacing w:after="0" w:line="44" w:lineRule="exact"/>
        <w:rPr>
          <w:sz w:val="20"/>
          <w:szCs w:val="20"/>
          <w:color w:val="auto"/>
        </w:rPr>
      </w:pPr>
    </w:p>
    <w:p>
      <w:pPr>
        <w:ind w:left="640" w:right="659" w:firstLine="443"/>
        <w:spacing w:after="0" w:line="254" w:lineRule="auto"/>
        <w:rPr>
          <w:sz w:val="20"/>
          <w:szCs w:val="20"/>
          <w:color w:val="auto"/>
        </w:rPr>
      </w:pPr>
      <w:r>
        <w:rPr>
          <w:rFonts w:ascii="Arial" w:cs="Arial" w:eastAsia="Arial" w:hAnsi="Arial"/>
          <w:sz w:val="14"/>
          <w:szCs w:val="14"/>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Gain on Disposition of Our Common Stock</w:t>
      </w:r>
    </w:p>
    <w:p>
      <w:pPr>
        <w:spacing w:after="0" w:line="86" w:lineRule="exact"/>
        <w:rPr>
          <w:sz w:val="20"/>
          <w:szCs w:val="20"/>
          <w:color w:val="auto"/>
        </w:rPr>
      </w:pPr>
    </w:p>
    <w:p>
      <w:pPr>
        <w:ind w:left="640" w:right="759" w:firstLine="443"/>
        <w:spacing w:after="0" w:line="282" w:lineRule="auto"/>
        <w:rPr>
          <w:sz w:val="20"/>
          <w:szCs w:val="20"/>
          <w:color w:val="auto"/>
        </w:rPr>
      </w:pPr>
      <w:r>
        <w:rPr>
          <w:rFonts w:ascii="Arial" w:cs="Arial" w:eastAsia="Arial" w:hAnsi="Arial"/>
          <w:sz w:val="14"/>
          <w:szCs w:val="14"/>
          <w:color w:val="auto"/>
        </w:rPr>
        <w:t>Subject to the discussion below regarding backup withholding and FATCA, a non-U.S. holder generally will not be subject to U.S. federal income tax on any gain realized on the sale or other disposition of our common stock, unless:</w:t>
      </w:r>
    </w:p>
    <w:p>
      <w:pPr>
        <w:spacing w:after="0" w:line="30" w:lineRule="exact"/>
        <w:rPr>
          <w:sz w:val="20"/>
          <w:szCs w:val="20"/>
          <w:color w:val="auto"/>
        </w:rPr>
      </w:pPr>
    </w:p>
    <w:p>
      <w:pPr>
        <w:ind w:left="1260" w:right="799" w:hanging="179"/>
        <w:spacing w:after="0" w:line="260" w:lineRule="auto"/>
        <w:tabs>
          <w:tab w:leader="none" w:pos="1260" w:val="left"/>
        </w:tabs>
        <w:numPr>
          <w:ilvl w:val="0"/>
          <w:numId w:val="100"/>
        </w:numPr>
        <w:rPr>
          <w:rFonts w:ascii="Times New Roman" w:cs="Times New Roman" w:eastAsia="Times New Roman" w:hAnsi="Times New Roman"/>
          <w:sz w:val="14"/>
          <w:szCs w:val="14"/>
          <w:color w:val="auto"/>
        </w:rPr>
      </w:pPr>
      <w:r>
        <w:rPr>
          <w:rFonts w:ascii="Arial" w:cs="Arial" w:eastAsia="Arial" w:hAnsi="Arial"/>
          <w:sz w:val="14"/>
          <w:szCs w:val="14"/>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45" w:lineRule="exact"/>
        <w:rPr>
          <w:rFonts w:ascii="Times New Roman" w:cs="Times New Roman" w:eastAsia="Times New Roman" w:hAnsi="Times New Roman"/>
          <w:sz w:val="14"/>
          <w:szCs w:val="14"/>
          <w:color w:val="auto"/>
        </w:rPr>
      </w:pPr>
    </w:p>
    <w:p>
      <w:pPr>
        <w:ind w:left="1260" w:right="659" w:hanging="179"/>
        <w:spacing w:after="0" w:line="281" w:lineRule="auto"/>
        <w:tabs>
          <w:tab w:leader="none" w:pos="1260" w:val="left"/>
        </w:tabs>
        <w:numPr>
          <w:ilvl w:val="0"/>
          <w:numId w:val="100"/>
        </w:numPr>
        <w:rPr>
          <w:rFonts w:ascii="Times New Roman" w:cs="Times New Roman" w:eastAsia="Times New Roman" w:hAnsi="Times New Roman"/>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30" w:lineRule="exact"/>
        <w:rPr>
          <w:rFonts w:ascii="Times New Roman" w:cs="Times New Roman" w:eastAsia="Times New Roman" w:hAnsi="Times New Roman"/>
          <w:sz w:val="14"/>
          <w:szCs w:val="14"/>
          <w:color w:val="auto"/>
        </w:rPr>
      </w:pPr>
    </w:p>
    <w:p>
      <w:pPr>
        <w:ind w:left="1260" w:right="739" w:hanging="179"/>
        <w:spacing w:after="0" w:line="247" w:lineRule="auto"/>
        <w:tabs>
          <w:tab w:leader="none" w:pos="1260" w:val="left"/>
        </w:tabs>
        <w:numPr>
          <w:ilvl w:val="0"/>
          <w:numId w:val="100"/>
        </w:numPr>
        <w:rPr>
          <w:rFonts w:ascii="Times New Roman" w:cs="Times New Roman" w:eastAsia="Times New Roman" w:hAnsi="Times New Roman"/>
          <w:sz w:val="14"/>
          <w:szCs w:val="14"/>
          <w:color w:val="auto"/>
        </w:rPr>
      </w:pPr>
      <w:r>
        <w:rPr>
          <w:rFonts w:ascii="Arial" w:cs="Arial" w:eastAsia="Arial" w:hAnsi="Arial"/>
          <w:sz w:val="14"/>
          <w:szCs w:val="14"/>
          <w:color w:val="auto"/>
        </w:rPr>
        <w:t>our common stock constitutes a “U.S. real property interest” (as defined in the Code) by reason of our status as a U.S. real property holding corporation, or USRPHC, for U.S. federal income tax purposes at any time within the shorter of the five-year period preceding the disposition or the non-U.S. holder’s holding period for our common stock, or the relevant period, and the non-U.S. holder (i) disposes of our shares of common stock during a calendar year when our shares of common stock are not regularly traded on an established securities market or (ii) owned (directly, indirectly, or constructively) more than 5% of our shares of common stock at any time during the relevant period.</w:t>
      </w:r>
    </w:p>
    <w:p>
      <w:pPr>
        <w:spacing w:after="0" w:line="53" w:lineRule="exact"/>
        <w:rPr>
          <w:sz w:val="20"/>
          <w:szCs w:val="20"/>
          <w:color w:val="auto"/>
        </w:rPr>
      </w:pPr>
    </w:p>
    <w:p>
      <w:pPr>
        <w:ind w:left="640" w:right="759" w:firstLine="443"/>
        <w:spacing w:after="0" w:line="254" w:lineRule="auto"/>
        <w:rPr>
          <w:sz w:val="20"/>
          <w:szCs w:val="20"/>
          <w:color w:val="auto"/>
        </w:rPr>
      </w:pPr>
      <w:r>
        <w:rPr>
          <w:rFonts w:ascii="Arial" w:cs="Arial" w:eastAsia="Arial" w:hAnsi="Arial"/>
          <w:sz w:val="14"/>
          <w:szCs w:val="14"/>
          <w:color w:val="auto"/>
        </w:rPr>
        <w:t>Determining whether we are a USRPHC depends on the fair market value of our U.S. real property interests relative to the fair market value of our other trade or business assets and our foreign real property interests. We believe we are not currently and we do not anticipate becoming a USRPHC for U.S. federal income tax purposes, although there can be no assurance we will not in the future become a USRPHC.</w:t>
      </w:r>
    </w:p>
    <w:p>
      <w:pPr>
        <w:spacing w:after="0" w:line="49"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Gains described in the first bullet point above generally will be subject to U.S. federal income tax on a net (assuming a U.S. tax return is timely filed, otherwise gross)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to corporate non-U.S. holders.</w:t>
      </w:r>
    </w:p>
    <w:p>
      <w:pPr>
        <w:spacing w:after="0" w:line="55" w:lineRule="exact"/>
        <w:rPr>
          <w:sz w:val="20"/>
          <w:szCs w:val="20"/>
          <w:color w:val="auto"/>
        </w:rPr>
      </w:pPr>
    </w:p>
    <w:p>
      <w:pPr>
        <w:ind w:left="640" w:right="819" w:firstLine="443"/>
        <w:spacing w:after="0" w:line="282" w:lineRule="auto"/>
        <w:rPr>
          <w:sz w:val="20"/>
          <w:szCs w:val="20"/>
          <w:color w:val="auto"/>
        </w:rPr>
      </w:pPr>
      <w:r>
        <w:rPr>
          <w:rFonts w:ascii="Arial" w:cs="Arial" w:eastAsia="Arial" w:hAnsi="Arial"/>
          <w:sz w:val="14"/>
          <w:szCs w:val="14"/>
          <w:color w:val="auto"/>
        </w:rPr>
        <w:t>Non-U.S. holders should consult their tax advisors regarding any applicable income tax treaties that may provide for different rules.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Information Reporting and Backup Withholding</w:t>
      </w:r>
    </w:p>
    <w:p>
      <w:pPr>
        <w:spacing w:after="0" w:line="86" w:lineRule="exact"/>
        <w:rPr>
          <w:sz w:val="20"/>
          <w:szCs w:val="20"/>
          <w:color w:val="auto"/>
        </w:rPr>
      </w:pPr>
    </w:p>
    <w:p>
      <w:pPr>
        <w:ind w:left="640" w:right="719" w:firstLine="443"/>
        <w:spacing w:after="0" w:line="248" w:lineRule="auto"/>
        <w:rPr>
          <w:sz w:val="20"/>
          <w:szCs w:val="20"/>
          <w:color w:val="auto"/>
        </w:rPr>
      </w:pPr>
      <w:r>
        <w:rPr>
          <w:rFonts w:ascii="Arial" w:cs="Arial" w:eastAsia="Arial" w:hAnsi="Arial"/>
          <w:sz w:val="14"/>
          <w:szCs w:val="14"/>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3" w:name="page224"/>
    <w:bookmarkEnd w:id="22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53"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 including the availability of and procedure for obtaining an exemption from backup withholding.</w:t>
      </w:r>
    </w:p>
    <w:p>
      <w:pPr>
        <w:spacing w:after="0" w:line="219" w:lineRule="exact"/>
        <w:rPr>
          <w:sz w:val="20"/>
          <w:szCs w:val="20"/>
          <w:color w:val="auto"/>
        </w:rPr>
      </w:pPr>
    </w:p>
    <w:p>
      <w:pPr>
        <w:ind w:left="640" w:right="719" w:firstLine="443"/>
        <w:spacing w:after="0" w:line="261" w:lineRule="auto"/>
        <w:rPr>
          <w:sz w:val="20"/>
          <w:szCs w:val="20"/>
          <w:color w:val="auto"/>
        </w:rPr>
      </w:pPr>
      <w:r>
        <w:rPr>
          <w:rFonts w:ascii="Arial" w:cs="Arial" w:eastAsia="Arial" w:hAnsi="Arial"/>
          <w:sz w:val="14"/>
          <w:szCs w:val="14"/>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Withholding on Foreign Entities</w:t>
      </w:r>
    </w:p>
    <w:p>
      <w:pPr>
        <w:spacing w:after="0" w:line="86"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The Foreign Account Tax Compliance Act, or FATCA, as reflected in Sections 1471 through 1474 of the Code, imposes a U.S. federal withholding tax of 30% on certain payments, including dividends paid in respect of our common stock and the gross proceeds of disposition on our common stock, made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(2) a “non-financial foreign entity” (as defined under FATCA) that does not furnish proper documentation (typically on IRS Form W-8BEN-E) evidencing either (i) an exemption from FATCA or (ii) adequate information regarding substantial United States beneficial owners of such entity (if any). An intergovernmental agreement between the United States and an applicable foreign country may modify these requirements. Under certain circumstances, a non-U.S. holder might be eligible for refunds or credits of such taxes. Withholding under FATCA generally applies to payments of dividends on our shares of common stock and to payments of gross proceeds from a sale or other disposition of our shares of common stock. Withholding agents may, however, rely on proposed Treasury Regulations that would no longer require FATCA withholding on payments of gross proceeds. A withholding agent such as a broker, and not us, will determine whether or not to implement gross proceeds FATCA withholding.</w:t>
      </w:r>
    </w:p>
    <w:p>
      <w:pPr>
        <w:spacing w:after="0" w:line="65" w:lineRule="exact"/>
        <w:rPr>
          <w:sz w:val="20"/>
          <w:szCs w:val="20"/>
          <w:color w:val="auto"/>
        </w:rPr>
      </w:pPr>
    </w:p>
    <w:p>
      <w:pPr>
        <w:ind w:left="640" w:right="779" w:firstLine="443"/>
        <w:spacing w:after="0" w:line="282" w:lineRule="auto"/>
        <w:rPr>
          <w:sz w:val="20"/>
          <w:szCs w:val="20"/>
          <w:color w:val="auto"/>
        </w:rPr>
      </w:pPr>
      <w:r>
        <w:rPr>
          <w:rFonts w:ascii="Arial" w:cs="Arial" w:eastAsia="Arial" w:hAnsi="Arial"/>
          <w:sz w:val="14"/>
          <w:szCs w:val="14"/>
          <w:color w:val="auto"/>
        </w:rPr>
        <w:t>Prospective investors are encouraged to consult with their own tax advisors regarding the possible implications of FATCA on their investment in our common stock.</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U.S. Federal Estate Tax</w:t>
      </w:r>
    </w:p>
    <w:p>
      <w:pPr>
        <w:spacing w:after="0" w:line="86" w:lineRule="exact"/>
        <w:rPr>
          <w:sz w:val="20"/>
          <w:szCs w:val="20"/>
          <w:color w:val="auto"/>
        </w:rPr>
      </w:pPr>
    </w:p>
    <w:p>
      <w:pPr>
        <w:ind w:left="640" w:right="719" w:firstLine="443"/>
        <w:spacing w:after="0" w:line="247" w:lineRule="auto"/>
        <w:rPr>
          <w:sz w:val="20"/>
          <w:szCs w:val="20"/>
          <w:color w:val="auto"/>
        </w:rPr>
      </w:pPr>
      <w:r>
        <w:rPr>
          <w:rFonts w:ascii="Arial" w:cs="Arial" w:eastAsia="Arial" w:hAnsi="Arial"/>
          <w:sz w:val="14"/>
          <w:szCs w:val="14"/>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acquisition, ownership and disposition of our common stock.</w:t>
      </w:r>
    </w:p>
    <w:p>
      <w:pPr>
        <w:spacing w:after="0" w:line="54" w:lineRule="exact"/>
        <w:rPr>
          <w:sz w:val="20"/>
          <w:szCs w:val="20"/>
          <w:color w:val="auto"/>
        </w:rPr>
      </w:pPr>
    </w:p>
    <w:p>
      <w:pPr>
        <w:ind w:left="640" w:right="919" w:firstLine="443"/>
        <w:spacing w:after="0" w:line="254" w:lineRule="auto"/>
        <w:rPr>
          <w:sz w:val="20"/>
          <w:szCs w:val="20"/>
          <w:color w:val="auto"/>
        </w:rPr>
      </w:pPr>
      <w:r>
        <w:rPr>
          <w:rFonts w:ascii="Arial" w:cs="Arial" w:eastAsia="Arial" w:hAnsi="Arial"/>
          <w:sz w:val="14"/>
          <w:szCs w:val="14"/>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U.S. FEDERAL, STATE OR LOCAL OR NON-U.S. INCOME AND NON-INCOME TAX LAWS.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4" w:name="page225"/>
    <w:bookmarkEnd w:id="22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UNDERWRITING</w:t>
      </w:r>
    </w:p>
    <w:p>
      <w:pPr>
        <w:spacing w:after="0" w:line="86" w:lineRule="exact"/>
        <w:rPr>
          <w:sz w:val="20"/>
          <w:szCs w:val="20"/>
          <w:color w:val="auto"/>
        </w:rPr>
      </w:pPr>
    </w:p>
    <w:p>
      <w:pPr>
        <w:ind w:left="640" w:right="679" w:firstLine="443"/>
        <w:spacing w:after="0" w:line="254" w:lineRule="auto"/>
        <w:rPr>
          <w:sz w:val="20"/>
          <w:szCs w:val="20"/>
          <w:color w:val="auto"/>
        </w:rPr>
      </w:pPr>
      <w:r>
        <w:rPr>
          <w:rFonts w:ascii="Arial" w:cs="Arial" w:eastAsia="Arial" w:hAnsi="Arial"/>
          <w:sz w:val="14"/>
          <w:szCs w:val="14"/>
          <w:color w:val="auto"/>
        </w:rPr>
        <w:t>We and the underwriters named below have entered into an underwriting agreement with respect to the shares being offered. Subject to certain conditions, each underwriter has severally agreed to purchase the number of shares indicated in the following table. J.P. Morgan Securities LLC, TD Securities (USA) LLC and Cantor Fitzgerald &amp; Co. are the representatives of the underwriters.</w:t>
      </w:r>
    </w:p>
    <w:p>
      <w:pPr>
        <w:spacing w:after="0" w:line="56" w:lineRule="exact"/>
        <w:rPr>
          <w:sz w:val="20"/>
          <w:szCs w:val="20"/>
          <w:color w:val="auto"/>
        </w:rPr>
      </w:pPr>
    </w:p>
    <w:p>
      <w:pPr>
        <w:ind w:left="640"/>
        <w:spacing w:after="0"/>
        <w:tabs>
          <w:tab w:leader="none" w:pos="7200" w:val="left"/>
        </w:tabs>
        <w:rPr>
          <w:sz w:val="20"/>
          <w:szCs w:val="20"/>
          <w:color w:val="auto"/>
        </w:rPr>
      </w:pPr>
      <w:r>
        <w:rPr>
          <w:rFonts w:ascii="Arial" w:cs="Arial" w:eastAsia="Arial" w:hAnsi="Arial"/>
          <w:sz w:val="23"/>
          <w:szCs w:val="23"/>
          <w:b w:val="1"/>
          <w:bCs w:val="1"/>
          <w:color w:val="auto"/>
          <w:vertAlign w:val="superscript"/>
        </w:rPr>
        <w:t>Underwriters</w:t>
      </w:r>
      <w:r>
        <w:rPr>
          <w:sz w:val="20"/>
          <w:szCs w:val="20"/>
          <w:color w:val="auto"/>
        </w:rPr>
        <w:tab/>
      </w:r>
      <w:r>
        <w:rPr>
          <w:rFonts w:ascii="Arial" w:cs="Arial" w:eastAsia="Arial" w:hAnsi="Arial"/>
          <w:sz w:val="11"/>
          <w:szCs w:val="11"/>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490982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4"/>
          <w:szCs w:val="14"/>
          <w:color w:val="231F20"/>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7620</wp:posOffset>
            </wp:positionV>
            <wp:extent cx="75692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color w:val="231F20"/>
        </w:rPr>
        <w:t>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12065</wp:posOffset>
            </wp:positionV>
            <wp:extent cx="75692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4"/>
          <w:szCs w:val="14"/>
          <w:color w:val="231F20"/>
        </w:rPr>
        <w:t>Cantor Fitzgerald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12065</wp:posOffset>
            </wp:positionV>
            <wp:extent cx="75692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12065</wp:posOffset>
            </wp:positionV>
            <wp:extent cx="75692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12065</wp:posOffset>
            </wp:positionV>
            <wp:extent cx="75692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12065</wp:posOffset>
            </wp:positionV>
            <wp:extent cx="756920" cy="133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56920" cy="13335"/>
                    </a:xfrm>
                    <a:prstGeom prst="rect">
                      <a:avLst/>
                    </a:prstGeom>
                    <a:noFill/>
                  </pic:spPr>
                </pic:pic>
              </a:graphicData>
            </a:graphic>
          </wp:anchor>
        </w:drawing>
      </w:r>
    </w:p>
    <w:p>
      <w:pPr>
        <w:spacing w:after="0" w:line="199" w:lineRule="exact"/>
        <w:rPr>
          <w:sz w:val="20"/>
          <w:szCs w:val="20"/>
          <w:color w:val="auto"/>
        </w:rPr>
      </w:pPr>
    </w:p>
    <w:p>
      <w:pPr>
        <w:ind w:left="640" w:right="739" w:firstLine="443"/>
        <w:spacing w:after="0" w:line="282" w:lineRule="auto"/>
        <w:rPr>
          <w:sz w:val="20"/>
          <w:szCs w:val="20"/>
          <w:color w:val="auto"/>
        </w:rPr>
      </w:pPr>
      <w:r>
        <w:rPr>
          <w:rFonts w:ascii="Arial" w:cs="Arial" w:eastAsia="Arial" w:hAnsi="Arial"/>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30" w:lineRule="exact"/>
        <w:rPr>
          <w:sz w:val="20"/>
          <w:szCs w:val="20"/>
          <w:color w:val="auto"/>
        </w:rPr>
      </w:pPr>
    </w:p>
    <w:p>
      <w:pPr>
        <w:ind w:left="640" w:right="739" w:firstLine="443"/>
        <w:spacing w:after="0" w:line="254" w:lineRule="auto"/>
        <w:rPr>
          <w:sz w:val="20"/>
          <w:szCs w:val="20"/>
          <w:color w:val="auto"/>
        </w:rPr>
      </w:pPr>
      <w:r>
        <w:rPr>
          <w:rFonts w:ascii="Arial" w:cs="Arial" w:eastAsia="Arial" w:hAnsi="Arial"/>
          <w:sz w:val="14"/>
          <w:szCs w:val="14"/>
          <w:color w:val="auto"/>
        </w:rPr>
        <w:t>The underwriters have an option to buy up to an additional        shares of our common stock from us to cover sales by the underwriters of a greater number of shares than the total number set forth in the table above. They may exercise that option for 30 days following the date of this prospectus. If any shares are purchased pursuant to this option, the underwriters will severally purchase shares in approximately the same proportion as set forth in the table above.</w:t>
      </w:r>
    </w:p>
    <w:p>
      <w:pPr>
        <w:spacing w:after="0" w:line="49" w:lineRule="exact"/>
        <w:rPr>
          <w:sz w:val="20"/>
          <w:szCs w:val="20"/>
          <w:color w:val="auto"/>
        </w:rPr>
      </w:pPr>
    </w:p>
    <w:p>
      <w:pPr>
        <w:ind w:left="640" w:right="859" w:firstLine="443"/>
        <w:spacing w:after="0" w:line="261" w:lineRule="auto"/>
        <w:rPr>
          <w:sz w:val="20"/>
          <w:szCs w:val="20"/>
          <w:color w:val="auto"/>
        </w:rPr>
      </w:pPr>
      <w:r>
        <w:rPr>
          <w:rFonts w:ascii="Arial" w:cs="Arial" w:eastAsia="Arial" w:hAnsi="Arial"/>
          <w:sz w:val="14"/>
          <w:szCs w:val="14"/>
          <w:color w:val="auto"/>
        </w:rPr>
        <w:t>The following table shows the per share and total underwriting discounts and commissions to be paid to the underwriters by us. Such amounts are shown assuming both no exercise and full exercise of the underwriters’ option to purchase up to an additional        shares of our common stock from us.</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58"/>
        </w:trPr>
        <w:tc>
          <w:tcPr>
            <w:tcW w:w="5060" w:type="dxa"/>
            <w:vAlign w:val="bottom"/>
            <w:vMerge w:val="restart"/>
          </w:tcPr>
          <w:p>
            <w:pPr>
              <w:spacing w:after="0"/>
              <w:rPr>
                <w:sz w:val="20"/>
                <w:szCs w:val="20"/>
                <w:color w:val="auto"/>
              </w:rPr>
            </w:pPr>
            <w:r>
              <w:rPr>
                <w:rFonts w:ascii="Arial" w:cs="Arial" w:eastAsia="Arial" w:hAnsi="Arial"/>
                <w:sz w:val="14"/>
                <w:szCs w:val="14"/>
                <w:color w:val="auto"/>
              </w:rPr>
              <w:t>Per Share</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No Exercise</w:t>
            </w: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Full Exercise</w:t>
            </w:r>
          </w:p>
        </w:tc>
        <w:tc>
          <w:tcPr>
            <w:tcW w:w="0" w:type="dxa"/>
            <w:vAlign w:val="bottom"/>
          </w:tcPr>
          <w:p>
            <w:pPr>
              <w:spacing w:after="0"/>
              <w:rPr>
                <w:sz w:val="1"/>
                <w:szCs w:val="1"/>
                <w:color w:val="auto"/>
              </w:rPr>
            </w:pPr>
          </w:p>
        </w:tc>
      </w:tr>
      <w:tr>
        <w:trPr>
          <w:trHeight w:val="148"/>
        </w:trPr>
        <w:tc>
          <w:tcPr>
            <w:tcW w:w="5060" w:type="dxa"/>
            <w:vAlign w:val="bottom"/>
            <w:vMerge w:val="continue"/>
          </w:tcPr>
          <w:p>
            <w:pPr>
              <w:spacing w:after="0"/>
              <w:rPr>
                <w:sz w:val="12"/>
                <w:szCs w:val="12"/>
                <w:color w:val="auto"/>
              </w:rPr>
            </w:pPr>
          </w:p>
        </w:tc>
        <w:tc>
          <w:tcPr>
            <w:tcW w:w="1260" w:type="dxa"/>
            <w:vAlign w:val="bottom"/>
          </w:tcPr>
          <w:p>
            <w:pPr>
              <w:jc w:val="right"/>
              <w:ind w:right="1093"/>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tcPr>
          <w:p>
            <w:pPr>
              <w:jc w:val="right"/>
              <w:ind w:right="1196"/>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00"/>
        </w:trPr>
        <w:tc>
          <w:tcPr>
            <w:tcW w:w="5060" w:type="dxa"/>
            <w:vAlign w:val="bottom"/>
          </w:tcPr>
          <w:p>
            <w:pPr>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1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Shares sold by the underwriters to the public will initially be offered at the initial public offering price set forth on the cover of this prospectus. Any shares sold by the underwriters to securities dealers may be sold at a discount of up to</w:t>
      </w:r>
    </w:p>
    <w:p>
      <w:pPr>
        <w:spacing w:after="0" w:line="1" w:lineRule="exact"/>
        <w:rPr>
          <w:sz w:val="20"/>
          <w:szCs w:val="20"/>
          <w:color w:val="auto"/>
        </w:rPr>
      </w:pPr>
    </w:p>
    <w:p>
      <w:pPr>
        <w:ind w:left="640" w:right="759"/>
        <w:spacing w:after="0" w:line="250" w:lineRule="auto"/>
        <w:rPr>
          <w:sz w:val="20"/>
          <w:szCs w:val="20"/>
          <w:color w:val="auto"/>
        </w:rPr>
      </w:pPr>
      <w:r>
        <w:rPr>
          <w:rFonts w:ascii="Arial" w:cs="Arial" w:eastAsia="Arial" w:hAnsi="Arial"/>
          <w:sz w:val="14"/>
          <w:szCs w:val="14"/>
          <w:color w:val="auto"/>
        </w:rPr>
        <w:t>$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52"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such securities, collectively, Lock-Up Securities, during the period from the date of this prospectus continuing through the date 180 days after the date of this prospectus, or the Lock-Up Period, except with the prior written consent of J.P. Morgan Securities LLC, TD Securities (USA) LLC and Cantor Fitzgerald &amp; Co. See the section of this prospectus titled “</w:t>
      </w:r>
      <w:r>
        <w:rPr>
          <w:rFonts w:ascii="Arial" w:cs="Arial" w:eastAsia="Arial" w:hAnsi="Arial"/>
          <w:sz w:val="14"/>
          <w:szCs w:val="14"/>
          <w:i w:val="1"/>
          <w:iCs w:val="1"/>
          <w:color w:val="auto"/>
        </w:rPr>
        <w:t>Shares Eligible for Future Sale</w:t>
      </w:r>
      <w:r>
        <w:rPr>
          <w:rFonts w:ascii="Arial" w:cs="Arial" w:eastAsia="Arial" w:hAnsi="Arial"/>
          <w:sz w:val="14"/>
          <w:szCs w:val="14"/>
          <w:color w:val="auto"/>
        </w:rPr>
        <w:t>” for a discussion of other transfer restrictions.</w:t>
      </w:r>
    </w:p>
    <w:p>
      <w:pPr>
        <w:spacing w:after="0" w:line="54" w:lineRule="exact"/>
        <w:rPr>
          <w:sz w:val="20"/>
          <w:szCs w:val="20"/>
          <w:color w:val="auto"/>
        </w:rPr>
      </w:pPr>
    </w:p>
    <w:p>
      <w:pPr>
        <w:ind w:left="640" w:right="659" w:firstLine="443"/>
        <w:spacing w:after="0" w:line="243" w:lineRule="auto"/>
        <w:rPr>
          <w:sz w:val="20"/>
          <w:szCs w:val="20"/>
          <w:color w:val="auto"/>
        </w:rPr>
      </w:pPr>
      <w:r>
        <w:rPr>
          <w:rFonts w:ascii="Arial" w:cs="Arial" w:eastAsia="Arial" w:hAnsi="Arial"/>
          <w:sz w:val="14"/>
          <w:szCs w:val="14"/>
          <w:color w:val="auto"/>
        </w:rPr>
        <w:t>The restrictions described in the immediately preceding paragraph do not, subject in certain cases to various conditions, apply to our officers, directors and holders of substantially all of our capital stock and securities convertible into or exchangeable for our common stock with respect to certain transactions, including: 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such lock-up party or the immediate family of such lock-up party or, if such lock-up party is a trust, to a trustor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trust or other business entity that is an affiliate (as defined in Rule 405 under the Securities Act) of such lock-up party, (B) to any investment fund or other entity which fund or entity directly or indirectly is controlling, controlled by, managing or managed by or under common control with the lock-up party or affiliates of such lock-up party, or (C) as part of a distribution or transfer by the lock-up party to its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5" w:name="page226"/>
    <w:bookmarkEnd w:id="22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spacing w:after="0" w:line="243" w:lineRule="auto"/>
        <w:rPr>
          <w:sz w:val="20"/>
          <w:szCs w:val="20"/>
          <w:color w:val="auto"/>
        </w:rPr>
      </w:pPr>
      <w:r>
        <w:rPr>
          <w:rFonts w:ascii="Arial" w:cs="Arial" w:eastAsia="Arial" w:hAnsi="Arial"/>
          <w:sz w:val="14"/>
          <w:szCs w:val="14"/>
          <w:color w:val="auto"/>
        </w:rPr>
        <w:t>stockholders, partners, members or other equity holders or to the estate of any such stockholders, partners, members or other equity holders, (vii) by operation of law, such as pursuant to a qualified domestic order, divorce settlement, divorce decree or separation agreement, (viii) to us from a current or former employee or other service provider upon death, disability or termination of services, in each case, of such employee or other service provider, (ix) if the lock-up party is not one of our officers or directors, in connection with a sale, transfer or disposal of, or entry into other transactions (including, without limitation, any swap, hedge or similar agreement or arrangement) relating to, such lock-up party’s shares of common stock acquired (A) from the underwriters in this offering or (B) in open market transactions on or after the closing date of this offering or (x) to us in connection with the vesting, settlement or exercise of restricted stock units, options, warrants or other rights to purchase or receive shares of common stock (including, in each case, by way of “net” or “cashless” exercise), including any transfer to us for the payment of the exercise price,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 provided that certain conditions are met.</w:t>
      </w:r>
    </w:p>
    <w:p>
      <w:pPr>
        <w:spacing w:after="0" w:line="57"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Lock-Up Period (except as would otherwise be permitted under the lock-up agreement)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or text thereof that none of the securities subject to such plan may be transferred, sold or otherwise disposed of pursuant to such plan until after the expiration of the Lock-Up Period, (b) (i) transfer its Lock-Up Securities pursuant to a bona fide third-party tender offer, merger, consolidation or other similar transaction that is approved by our board of directors (or a duly authorized committee thereof) and made available to all holders of our capital stock involving a change of control of us, in one transaction or a series of related transactions, to a person or group of affiliated persons, after such transfer, such person or group of affiliated persons would hold at least a majority of our outstanding voting securities (or the outstanding voting securities of the surviving entity) and (ii) enter into any lock-up, voting or similar agreement pursuant to which the undersigned may agree to transfer, sell, tender or otherwise dispose of Lock-Up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or (c) convert outstanding shares of our convertible preferred stock and non-voting common stock into shares of common stock and exchange warrants to acquire preferred stock for warrants to acquire common stock; provided that any such shares received upon such conversion and exchange shall remain subject to the provisions of the lock-up agreement.</w:t>
      </w:r>
    </w:p>
    <w:p>
      <w:pPr>
        <w:spacing w:after="0" w:line="222"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The restrictions on transfers or other dispositions by us described above do not apply to us with respect to (i) this offering, (ii) the issuance of shares of common stock, options to purchase common stock, restricted stock units or other stock-based awards pursuant to, or common stock upon exercise of options or settlement of restricted stock units or upon the exercise, vesting or settlement of other stock-based awards issued pursuant to, any employee stock option plan, incentive plan, stock plan, dividend reinvestment plan or other equity compensation arrangements in place as of or prior to the date of this prospectus and described in this prospectus, (iii) the issuance of common stock upon the conversion of convertible preferred stock outstanding on the date of this prospectus and described in this prospectus, (iv) the issuance of common stock pursuant to the conversion or exchange of convertible or exchangeable securities or the exercise of warrants or options, so long as such convertible or exchangeable securities, warrants or options are outstanding on the date of this prospectus and described in this prospectus, (v) filing a registration statement on Form S-8 or a successor form thereto to register common stock issuable pursuant to the terms of any employee equity-based compensation plan, incentive plan, stock plan or dividend reinvestment plan adopted and approved by our board of directors prior to the date of this prospectus and described in this prospectus, and (vi) the issuance of shares of common stock, or any securities convertible into or exchangeable for, or that represent the right to receive, shares of common stock, in connection with any joint venture, commercial or collaborative relationship or the acquisition or license by us of the securities, businesses, property or other assets of another person or entity or pursuant to any employment benefit plan assumed by us in connection with any such acquisition. In the case of clause (vi), the aggregate number of shares of our common stock that we may sell or issue or agree to sell or issue may not exceed 7.5% of the total number of shares of our common stock issued and outstanding immediately following this offering. In addition, each recipient of any shares of our common stock issued or sold pursuant to clause (ii), (iii), or (vi) above must execute and deliver to the representatives an agreement having substantially the same terms as those agreements governing the Lock-Up Securities described above prior to, or concurrently with, such issuance or sale.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6" w:name="page227"/>
    <w:bookmarkEnd w:id="22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99" w:firstLine="443"/>
        <w:spacing w:after="0" w:line="250" w:lineRule="auto"/>
        <w:rPr>
          <w:sz w:val="20"/>
          <w:szCs w:val="20"/>
          <w:color w:val="auto"/>
        </w:rPr>
      </w:pPr>
      <w:r>
        <w:rPr>
          <w:rFonts w:ascii="Arial" w:cs="Arial" w:eastAsia="Arial" w:hAnsi="Arial"/>
          <w:sz w:val="14"/>
          <w:szCs w:val="14"/>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We have applied to list our common stock on the Nasdaq Capital Market under the symbol “ODTX.”</w:t>
      </w:r>
    </w:p>
    <w:p>
      <w:pPr>
        <w:spacing w:after="0" w:line="86"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28" w:lineRule="exact"/>
        <w:rPr>
          <w:sz w:val="20"/>
          <w:szCs w:val="20"/>
          <w:color w:val="auto"/>
        </w:rPr>
      </w:pPr>
    </w:p>
    <w:p>
      <w:pPr>
        <w:ind w:left="640" w:right="839" w:firstLine="443"/>
        <w:spacing w:after="0" w:line="261"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4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delaying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54" w:lineRule="exact"/>
        <w:rPr>
          <w:sz w:val="20"/>
          <w:szCs w:val="20"/>
          <w:color w:val="auto"/>
        </w:rPr>
      </w:pPr>
    </w:p>
    <w:p>
      <w:pPr>
        <w:ind w:left="640" w:right="1119" w:firstLine="443"/>
        <w:spacing w:after="0" w:line="261" w:lineRule="auto"/>
        <w:rPr>
          <w:sz w:val="20"/>
          <w:szCs w:val="20"/>
          <w:color w:val="auto"/>
        </w:rPr>
      </w:pPr>
      <w:r>
        <w:rPr>
          <w:rFonts w:ascii="Arial" w:cs="Arial" w:eastAsia="Arial" w:hAnsi="Arial"/>
          <w:sz w:val="14"/>
          <w:szCs w:val="14"/>
          <w:color w:val="auto"/>
        </w:rPr>
        <w:t>We estimate that our share of the total expenses of the offering, excluding underwriting discounts and commissions, will be approximately $          . We have agreed to reimburse the underwriters for certain of their expenses in an amount up to $          .</w:t>
      </w:r>
    </w:p>
    <w:p>
      <w:pPr>
        <w:spacing w:after="0" w:line="44" w:lineRule="exact"/>
        <w:rPr>
          <w:sz w:val="20"/>
          <w:szCs w:val="20"/>
          <w:color w:val="auto"/>
        </w:rPr>
      </w:pPr>
    </w:p>
    <w:p>
      <w:pPr>
        <w:ind w:left="640" w:right="1079" w:firstLine="443"/>
        <w:spacing w:after="0" w:line="282" w:lineRule="auto"/>
        <w:rPr>
          <w:sz w:val="20"/>
          <w:szCs w:val="20"/>
          <w:color w:val="auto"/>
        </w:rPr>
      </w:pPr>
      <w:r>
        <w:rPr>
          <w:rFonts w:ascii="Arial" w:cs="Arial" w:eastAsia="Arial" w:hAnsi="Arial"/>
          <w:sz w:val="14"/>
          <w:szCs w:val="14"/>
          <w:color w:val="auto"/>
        </w:rPr>
        <w:t>We have agreed to indemnify the several underwriters against certain liabilities, including liabilities under the Securities Act.</w:t>
      </w:r>
    </w:p>
    <w:p>
      <w:pPr>
        <w:spacing w:after="0" w:line="30" w:lineRule="exact"/>
        <w:rPr>
          <w:sz w:val="20"/>
          <w:szCs w:val="20"/>
          <w:color w:val="auto"/>
        </w:rPr>
      </w:pPr>
    </w:p>
    <w:p>
      <w:pPr>
        <w:ind w:left="640" w:right="659" w:firstLine="443"/>
        <w:spacing w:after="0" w:line="242"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For example, we have entered into Advisory Services Agreements with each of Wedbush Securities Inc. and Oppenheimer &amp; Co. Inc., pursuant to which we will pay a fee not to exceed 0.175% and 0.07%, respectively, of the gross proceeds from this offering for advisory services rendered.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7" w:name="page228"/>
    <w:bookmarkEnd w:id="22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European Economic Area</w:t>
      </w:r>
    </w:p>
    <w:p>
      <w:pPr>
        <w:spacing w:after="0" w:line="84" w:lineRule="exact"/>
        <w:rPr>
          <w:sz w:val="20"/>
          <w:szCs w:val="20"/>
          <w:color w:val="auto"/>
        </w:rPr>
      </w:pPr>
    </w:p>
    <w:p>
      <w:pPr>
        <w:ind w:left="640" w:right="699" w:firstLine="443"/>
        <w:spacing w:after="0" w:line="248" w:lineRule="auto"/>
        <w:rPr>
          <w:sz w:val="20"/>
          <w:szCs w:val="20"/>
          <w:color w:val="auto"/>
        </w:rPr>
      </w:pPr>
      <w:r>
        <w:rPr>
          <w:rFonts w:ascii="Arial" w:cs="Arial" w:eastAsia="Arial" w:hAnsi="Arial"/>
          <w:sz w:val="14"/>
          <w:szCs w:val="14"/>
          <w:color w:val="auto"/>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p>
    <w:p>
      <w:pPr>
        <w:spacing w:after="0" w:line="54" w:lineRule="exact"/>
        <w:rPr>
          <w:sz w:val="20"/>
          <w:szCs w:val="20"/>
          <w:color w:val="auto"/>
        </w:rPr>
      </w:pPr>
    </w:p>
    <w:p>
      <w:pPr>
        <w:ind w:left="1340" w:hanging="259"/>
        <w:spacing w:after="0"/>
        <w:tabs>
          <w:tab w:leader="none" w:pos="1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Prospectus Regulation;</w:t>
      </w:r>
    </w:p>
    <w:p>
      <w:pPr>
        <w:spacing w:after="0" w:line="86" w:lineRule="exact"/>
        <w:rPr>
          <w:rFonts w:ascii="Arial" w:cs="Arial" w:eastAsia="Arial" w:hAnsi="Arial"/>
          <w:sz w:val="14"/>
          <w:szCs w:val="14"/>
          <w:color w:val="auto"/>
        </w:rPr>
      </w:pPr>
    </w:p>
    <w:p>
      <w:pPr>
        <w:ind w:left="640" w:right="1059" w:firstLine="441"/>
        <w:spacing w:after="0" w:line="282" w:lineRule="auto"/>
        <w:tabs>
          <w:tab w:leader="none" w:pos="134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representatives for any such offer; or</w:t>
      </w:r>
    </w:p>
    <w:p>
      <w:pPr>
        <w:spacing w:after="0" w:line="29" w:lineRule="exact"/>
        <w:rPr>
          <w:rFonts w:ascii="Arial" w:cs="Arial" w:eastAsia="Arial" w:hAnsi="Arial"/>
          <w:sz w:val="14"/>
          <w:szCs w:val="14"/>
          <w:color w:val="auto"/>
        </w:rPr>
      </w:pPr>
    </w:p>
    <w:p>
      <w:pPr>
        <w:ind w:left="640" w:right="719" w:firstLine="441"/>
        <w:spacing w:after="0" w:line="261" w:lineRule="auto"/>
        <w:tabs>
          <w:tab w:leader="none" w:pos="134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 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44" w:lineRule="exact"/>
        <w:rPr>
          <w:sz w:val="20"/>
          <w:szCs w:val="20"/>
          <w:color w:val="auto"/>
        </w:rPr>
      </w:pPr>
    </w:p>
    <w:p>
      <w:pPr>
        <w:ind w:left="640" w:right="839" w:firstLine="443"/>
        <w:spacing w:after="0" w:line="254" w:lineRule="auto"/>
        <w:rPr>
          <w:sz w:val="20"/>
          <w:szCs w:val="20"/>
          <w:color w:val="auto"/>
        </w:rPr>
      </w:pPr>
      <w:r>
        <w:rPr>
          <w:rFonts w:ascii="Arial" w:cs="Arial" w:eastAsia="Arial" w:hAnsi="Arial"/>
          <w:sz w:val="14"/>
          <w:szCs w:val="14"/>
          <w:color w:val="auto"/>
        </w:rPr>
        <w:t>For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United Kingdom</w:t>
      </w:r>
    </w:p>
    <w:p>
      <w:pPr>
        <w:spacing w:after="0" w:line="84" w:lineRule="exact"/>
        <w:rPr>
          <w:sz w:val="20"/>
          <w:szCs w:val="20"/>
          <w:color w:val="auto"/>
        </w:rPr>
      </w:pPr>
    </w:p>
    <w:p>
      <w:pPr>
        <w:ind w:left="640" w:right="659" w:firstLine="516"/>
        <w:spacing w:after="0" w:line="282" w:lineRule="auto"/>
        <w:rPr>
          <w:sz w:val="20"/>
          <w:szCs w:val="20"/>
          <w:color w:val="auto"/>
        </w:rPr>
      </w:pPr>
      <w:r>
        <w:rPr>
          <w:rFonts w:ascii="Arial" w:cs="Arial" w:eastAsia="Arial" w:hAnsi="Arial"/>
          <w:sz w:val="14"/>
          <w:szCs w:val="14"/>
          <w:color w:val="auto"/>
        </w:rPr>
        <w:t>No shares have been offered or will be offered pursuant to the Offering to the public in the United Kingdom except that the shares may be offered to the public in the United Kingdom at any time:</w:t>
      </w:r>
    </w:p>
    <w:p>
      <w:pPr>
        <w:spacing w:after="0" w:line="30" w:lineRule="exact"/>
        <w:rPr>
          <w:sz w:val="20"/>
          <w:szCs w:val="20"/>
          <w:color w:val="auto"/>
        </w:rPr>
      </w:pPr>
    </w:p>
    <w:p>
      <w:pPr>
        <w:ind w:left="1080" w:right="719" w:firstLine="1"/>
        <w:spacing w:after="0" w:line="254" w:lineRule="auto"/>
        <w:tabs>
          <w:tab w:leader="none" w:pos="129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where (i) the offer is conditional on the admission of the shares for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48" w:lineRule="exact"/>
        <w:rPr>
          <w:rFonts w:ascii="Arial" w:cs="Arial" w:eastAsia="Arial" w:hAnsi="Arial"/>
          <w:sz w:val="14"/>
          <w:szCs w:val="14"/>
          <w:color w:val="auto"/>
        </w:rPr>
      </w:pPr>
    </w:p>
    <w:p>
      <w:pPr>
        <w:ind w:left="1300" w:hanging="219"/>
        <w:spacing w:after="0"/>
        <w:tabs>
          <w:tab w:leader="none" w:pos="13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any qualified investor as defined in paragraph 15 of Schedule 1 of the POATR;</w:t>
      </w:r>
    </w:p>
    <w:p>
      <w:pPr>
        <w:spacing w:after="0" w:line="86" w:lineRule="exact"/>
        <w:rPr>
          <w:rFonts w:ascii="Arial" w:cs="Arial" w:eastAsia="Arial" w:hAnsi="Arial"/>
          <w:sz w:val="14"/>
          <w:szCs w:val="14"/>
          <w:color w:val="auto"/>
        </w:rPr>
      </w:pPr>
    </w:p>
    <w:p>
      <w:pPr>
        <w:ind w:left="1080" w:right="1099" w:firstLine="1"/>
        <w:spacing w:after="0" w:line="282" w:lineRule="auto"/>
        <w:tabs>
          <w:tab w:leader="none" w:pos="1287"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fewer than 150 persons (other than qualified investors as defined in paragraph 15 of Schedule 1 of the POATR), subject to obtaining the prior consent of the Global Coordinator for any such offer; or</w:t>
      </w:r>
    </w:p>
    <w:p>
      <w:pPr>
        <w:spacing w:after="0" w:line="29" w:lineRule="exact"/>
        <w:rPr>
          <w:rFonts w:ascii="Arial" w:cs="Arial" w:eastAsia="Arial" w:hAnsi="Arial"/>
          <w:sz w:val="14"/>
          <w:szCs w:val="14"/>
          <w:color w:val="auto"/>
        </w:rPr>
      </w:pPr>
    </w:p>
    <w:p>
      <w:pPr>
        <w:ind w:left="1300" w:hanging="219"/>
        <w:spacing w:after="0"/>
        <w:tabs>
          <w:tab w:leader="none" w:pos="13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any other circumstances falling within Part 1 of Schedule 1 of the POATR.</w:t>
      </w:r>
    </w:p>
    <w:p>
      <w:pPr>
        <w:spacing w:after="0" w:line="161" w:lineRule="exact"/>
        <w:rPr>
          <w:sz w:val="20"/>
          <w:szCs w:val="20"/>
          <w:color w:val="auto"/>
        </w:rPr>
      </w:pPr>
    </w:p>
    <w:p>
      <w:pPr>
        <w:ind w:left="640" w:right="799" w:firstLine="516"/>
        <w:spacing w:after="0" w:line="254" w:lineRule="auto"/>
        <w:rPr>
          <w:sz w:val="20"/>
          <w:szCs w:val="20"/>
          <w:color w:val="auto"/>
        </w:rPr>
      </w:pPr>
      <w:r>
        <w:rPr>
          <w:rFonts w:ascii="Arial" w:cs="Arial" w:eastAsia="Arial" w:hAnsi="Arial"/>
          <w:sz w:val="14"/>
          <w:szCs w:val="14"/>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Canada</w:t>
      </w:r>
    </w:p>
    <w:p>
      <w:pPr>
        <w:spacing w:after="0" w:line="84" w:lineRule="exact"/>
        <w:rPr>
          <w:sz w:val="20"/>
          <w:szCs w:val="20"/>
          <w:color w:val="auto"/>
        </w:rPr>
      </w:pPr>
    </w:p>
    <w:p>
      <w:pPr>
        <w:ind w:left="640" w:right="819" w:firstLine="443"/>
        <w:spacing w:after="0" w:line="250" w:lineRule="auto"/>
        <w:rPr>
          <w:sz w:val="20"/>
          <w:szCs w:val="20"/>
          <w:color w:val="auto"/>
        </w:rPr>
      </w:pPr>
      <w:r>
        <w:rPr>
          <w:rFonts w:ascii="Arial" w:cs="Arial" w:eastAsia="Arial" w:hAnsi="Arial"/>
          <w:sz w:val="14"/>
          <w:szCs w:val="14"/>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53"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53" w:lineRule="exact"/>
        <w:rPr>
          <w:sz w:val="20"/>
          <w:szCs w:val="20"/>
          <w:color w:val="auto"/>
        </w:rPr>
      </w:pPr>
    </w:p>
    <w:p>
      <w:pPr>
        <w:ind w:left="640" w:right="659" w:firstLine="443"/>
        <w:spacing w:after="0" w:line="261"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8" w:name="page229"/>
    <w:bookmarkEnd w:id="22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Hong Kong</w:t>
      </w:r>
    </w:p>
    <w:p>
      <w:pPr>
        <w:spacing w:after="0" w:line="84" w:lineRule="exact"/>
        <w:rPr>
          <w:sz w:val="20"/>
          <w:szCs w:val="20"/>
          <w:color w:val="auto"/>
        </w:rPr>
      </w:pPr>
    </w:p>
    <w:p>
      <w:pPr>
        <w:ind w:left="640" w:right="739" w:firstLine="443"/>
        <w:spacing w:after="0" w:line="243" w:lineRule="auto"/>
        <w:rPr>
          <w:sz w:val="20"/>
          <w:szCs w:val="20"/>
          <w:color w:val="auto"/>
        </w:rPr>
      </w:pPr>
      <w:r>
        <w:rPr>
          <w:rFonts w:ascii="Arial" w:cs="Arial" w:eastAsia="Arial" w:hAnsi="Arial"/>
          <w:sz w:val="14"/>
          <w:szCs w:val="14"/>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Singapore</w:t>
      </w:r>
    </w:p>
    <w:p>
      <w:pPr>
        <w:spacing w:after="0" w:line="84" w:lineRule="exact"/>
        <w:rPr>
          <w:sz w:val="20"/>
          <w:szCs w:val="20"/>
          <w:color w:val="auto"/>
        </w:rPr>
      </w:pPr>
    </w:p>
    <w:p>
      <w:pPr>
        <w:ind w:left="640" w:right="699" w:firstLine="443"/>
        <w:spacing w:after="0" w:line="245"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57"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60" w:lineRule="exact"/>
        <w:rPr>
          <w:sz w:val="20"/>
          <w:szCs w:val="20"/>
          <w:color w:val="auto"/>
        </w:rPr>
      </w:pPr>
    </w:p>
    <w:p>
      <w:pPr>
        <w:ind w:left="640" w:right="819" w:firstLine="443"/>
        <w:spacing w:after="0" w:line="250" w:lineRule="auto"/>
        <w:rPr>
          <w:sz w:val="20"/>
          <w:szCs w:val="20"/>
          <w:color w:val="auto"/>
        </w:rPr>
      </w:pPr>
      <w:r>
        <w:rPr>
          <w:rFonts w:ascii="Arial" w:cs="Arial" w:eastAsia="Arial" w:hAnsi="Arial"/>
          <w:sz w:val="14"/>
          <w:szCs w:val="14"/>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Israel</w:t>
      </w:r>
    </w:p>
    <w:p>
      <w:pPr>
        <w:spacing w:after="0" w:line="84" w:lineRule="exact"/>
        <w:rPr>
          <w:sz w:val="20"/>
          <w:szCs w:val="20"/>
          <w:color w:val="auto"/>
        </w:rPr>
      </w:pPr>
    </w:p>
    <w:p>
      <w:pPr>
        <w:ind w:left="640" w:right="679" w:firstLine="443"/>
        <w:spacing w:after="0" w:line="245" w:lineRule="auto"/>
        <w:rPr>
          <w:sz w:val="20"/>
          <w:szCs w:val="20"/>
          <w:color w:val="auto"/>
        </w:rPr>
      </w:pPr>
      <w:r>
        <w:rPr>
          <w:rFonts w:ascii="Arial" w:cs="Arial" w:eastAsia="Arial" w:hAnsi="Arial"/>
          <w:sz w:val="14"/>
          <w:szCs w:val="14"/>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9" w:name="page230"/>
    <w:bookmarkEnd w:id="22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759"/>
        <w:spacing w:after="0" w:line="282" w:lineRule="auto"/>
        <w:rPr>
          <w:sz w:val="20"/>
          <w:szCs w:val="20"/>
          <w:color w:val="auto"/>
        </w:rPr>
      </w:pPr>
      <w:r>
        <w:rPr>
          <w:rFonts w:ascii="Arial" w:cs="Arial" w:eastAsia="Arial" w:hAnsi="Arial"/>
          <w:sz w:val="14"/>
          <w:szCs w:val="14"/>
          <w:color w:val="auto"/>
        </w:rPr>
        <w:t>Qualified investors are required to submit written confirmation that they fall within the scope of the Addendum, are aware of the meaning of same and agree to it.</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Japan</w:t>
      </w:r>
    </w:p>
    <w:p>
      <w:pPr>
        <w:spacing w:after="0" w:line="84"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Australia</w:t>
      </w:r>
    </w:p>
    <w:p>
      <w:pPr>
        <w:spacing w:after="0" w:line="84" w:lineRule="exact"/>
        <w:rPr>
          <w:sz w:val="20"/>
          <w:szCs w:val="20"/>
          <w:color w:val="auto"/>
        </w:rPr>
      </w:pPr>
    </w:p>
    <w:p>
      <w:pPr>
        <w:ind w:left="640" w:right="659" w:firstLine="443"/>
        <w:spacing w:after="0" w:line="250" w:lineRule="auto"/>
        <w:rPr>
          <w:sz w:val="20"/>
          <w:szCs w:val="20"/>
          <w:color w:val="auto"/>
        </w:rPr>
      </w:pPr>
      <w:r>
        <w:rPr>
          <w:rFonts w:ascii="Arial" w:cs="Arial" w:eastAsia="Arial" w:hAnsi="Arial"/>
          <w:sz w:val="14"/>
          <w:szCs w:val="14"/>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53" w:lineRule="exact"/>
        <w:rPr>
          <w:sz w:val="20"/>
          <w:szCs w:val="20"/>
          <w:color w:val="auto"/>
        </w:rPr>
      </w:pPr>
    </w:p>
    <w:p>
      <w:pPr>
        <w:ind w:left="640" w:right="699" w:firstLine="443"/>
        <w:spacing w:after="0" w:line="250" w:lineRule="auto"/>
        <w:rPr>
          <w:sz w:val="20"/>
          <w:szCs w:val="20"/>
          <w:color w:val="auto"/>
        </w:rPr>
      </w:pPr>
      <w:r>
        <w:rPr>
          <w:rFonts w:ascii="Arial" w:cs="Arial" w:eastAsia="Arial" w:hAnsi="Arial"/>
          <w:sz w:val="14"/>
          <w:szCs w:val="14"/>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53" w:lineRule="exact"/>
        <w:rPr>
          <w:sz w:val="20"/>
          <w:szCs w:val="20"/>
          <w:color w:val="auto"/>
        </w:rPr>
      </w:pPr>
    </w:p>
    <w:p>
      <w:pPr>
        <w:ind w:left="640" w:right="719" w:firstLine="443"/>
        <w:spacing w:after="0" w:line="250" w:lineRule="auto"/>
        <w:rPr>
          <w:sz w:val="20"/>
          <w:szCs w:val="20"/>
          <w:color w:val="auto"/>
        </w:rPr>
      </w:pPr>
      <w:r>
        <w:rPr>
          <w:rFonts w:ascii="Arial" w:cs="Arial" w:eastAsia="Arial" w:hAnsi="Arial"/>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53" w:lineRule="exact"/>
        <w:rPr>
          <w:sz w:val="20"/>
          <w:szCs w:val="20"/>
          <w:color w:val="auto"/>
        </w:rPr>
      </w:pPr>
    </w:p>
    <w:p>
      <w:pPr>
        <w:ind w:left="640" w:right="679" w:firstLine="443"/>
        <w:spacing w:after="0" w:line="250" w:lineRule="auto"/>
        <w:rPr>
          <w:sz w:val="20"/>
          <w:szCs w:val="20"/>
          <w:color w:val="auto"/>
        </w:rPr>
      </w:pPr>
      <w:r>
        <w:rPr>
          <w:rFonts w:ascii="Arial" w:cs="Arial" w:eastAsia="Arial" w:hAnsi="Arial"/>
          <w:sz w:val="14"/>
          <w:szCs w:val="14"/>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Dubai International Financial Centre (DIFC)</w:t>
      </w:r>
    </w:p>
    <w:p>
      <w:pPr>
        <w:spacing w:after="0" w:line="84"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54" w:lineRule="exact"/>
        <w:rPr>
          <w:sz w:val="20"/>
          <w:szCs w:val="20"/>
          <w:color w:val="auto"/>
        </w:rPr>
      </w:pPr>
    </w:p>
    <w:p>
      <w:pPr>
        <w:ind w:left="640" w:right="679" w:firstLine="443"/>
        <w:spacing w:after="0" w:line="254"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0" w:name="page231"/>
    <w:bookmarkEnd w:id="23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Switzerland</w:t>
      </w:r>
    </w:p>
    <w:p>
      <w:pPr>
        <w:spacing w:after="0" w:line="84"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or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w:t>
      </w:r>
    </w:p>
    <w:p>
      <w:pPr>
        <w:spacing w:after="0" w:line="54" w:lineRule="exact"/>
        <w:rPr>
          <w:sz w:val="20"/>
          <w:szCs w:val="20"/>
          <w:color w:val="auto"/>
        </w:rPr>
      </w:pPr>
    </w:p>
    <w:p>
      <w:pPr>
        <w:ind w:left="640" w:right="659" w:firstLine="443"/>
        <w:spacing w:after="0" w:line="248" w:lineRule="auto"/>
        <w:rPr>
          <w:sz w:val="20"/>
          <w:szCs w:val="20"/>
          <w:color w:val="auto"/>
        </w:rPr>
      </w:pPr>
      <w:r>
        <w:rPr>
          <w:rFonts w:ascii="Arial" w:cs="Arial" w:eastAsia="Arial" w:hAnsi="Arial"/>
          <w:sz w:val="14"/>
          <w:szCs w:val="14"/>
          <w:color w:val="auto"/>
        </w:rPr>
        <w:t>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Brazil</w:t>
      </w:r>
    </w:p>
    <w:p>
      <w:pPr>
        <w:spacing w:after="0" w:line="84" w:lineRule="exact"/>
        <w:rPr>
          <w:sz w:val="20"/>
          <w:szCs w:val="20"/>
          <w:color w:val="auto"/>
        </w:rPr>
      </w:pPr>
    </w:p>
    <w:p>
      <w:pPr>
        <w:ind w:left="640" w:right="679" w:firstLine="443"/>
        <w:spacing w:after="0" w:line="248" w:lineRule="auto"/>
        <w:rPr>
          <w:sz w:val="20"/>
          <w:szCs w:val="20"/>
          <w:color w:val="auto"/>
        </w:rPr>
      </w:pPr>
      <w:r>
        <w:rPr>
          <w:rFonts w:ascii="Arial" w:cs="Arial" w:eastAsia="Arial" w:hAnsi="Arial"/>
          <w:sz w:val="14"/>
          <w:szCs w:val="14"/>
          <w:color w:val="auto"/>
        </w:rPr>
        <w:t>The offer and sale of the shares have not been and will not be registered with the Brazilian Securities Commission, or CVM, and, therefore, will not be carried out by any means that would constitute a public offering in Brazil under CVM Resolution No 160, dated July 13, 2022, as amended,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1" w:name="page232"/>
    <w:bookmarkEnd w:id="23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LEGAL MATTERS</w:t>
      </w:r>
    </w:p>
    <w:p>
      <w:pPr>
        <w:spacing w:after="0" w:line="86" w:lineRule="exact"/>
        <w:rPr>
          <w:sz w:val="20"/>
          <w:szCs w:val="20"/>
          <w:color w:val="auto"/>
        </w:rPr>
      </w:pPr>
    </w:p>
    <w:p>
      <w:pPr>
        <w:ind w:left="640" w:right="779" w:firstLine="443"/>
        <w:spacing w:after="0" w:line="261" w:lineRule="auto"/>
        <w:rPr>
          <w:sz w:val="20"/>
          <w:szCs w:val="20"/>
          <w:color w:val="auto"/>
        </w:rPr>
      </w:pPr>
      <w:r>
        <w:rPr>
          <w:rFonts w:ascii="Arial" w:cs="Arial" w:eastAsia="Arial" w:hAnsi="Arial"/>
          <w:sz w:val="14"/>
          <w:szCs w:val="14"/>
          <w:color w:val="auto"/>
        </w:rPr>
        <w:t>The validity of the shares of common stock offered hereby and selected other legal matters in connection with the offering will be passed upon for us by Covington &amp; Burling LLP, Boston, Massachusetts. Cooley LLP, Boston, Massachusetts, will serve as counsel to the underwriters in connection with this offering.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EXPERTS</w:t>
      </w:r>
    </w:p>
    <w:p>
      <w:pPr>
        <w:spacing w:after="0" w:line="86" w:lineRule="exact"/>
        <w:rPr>
          <w:sz w:val="20"/>
          <w:szCs w:val="20"/>
          <w:color w:val="auto"/>
        </w:rPr>
      </w:pPr>
    </w:p>
    <w:p>
      <w:pPr>
        <w:ind w:left="640" w:right="699" w:firstLine="443"/>
        <w:spacing w:after="0" w:line="254" w:lineRule="auto"/>
        <w:rPr>
          <w:sz w:val="20"/>
          <w:szCs w:val="20"/>
          <w:color w:val="auto"/>
        </w:rPr>
      </w:pPr>
      <w:r>
        <w:rPr>
          <w:rFonts w:ascii="Arial" w:cs="Arial" w:eastAsia="Arial" w:hAnsi="Arial"/>
          <w:sz w:val="14"/>
          <w:szCs w:val="14"/>
          <w:color w:val="auto"/>
        </w:rPr>
        <w:t>The financial statements of Odyssey Therapeutics, Inc. as of December 31, 2025 and 2024, and for the years then ended,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WHERE YOU CAN FIND ADDITIONAL INFORMATION</w:t>
      </w:r>
    </w:p>
    <w:p>
      <w:pPr>
        <w:spacing w:after="0" w:line="86" w:lineRule="exact"/>
        <w:rPr>
          <w:sz w:val="20"/>
          <w:szCs w:val="20"/>
          <w:color w:val="auto"/>
        </w:rPr>
      </w:pPr>
    </w:p>
    <w:p>
      <w:pPr>
        <w:ind w:left="640" w:right="679" w:firstLine="443"/>
        <w:spacing w:after="0" w:line="244"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 website that contains reports, proxy statements and other information about issuers, like us, that file electronically with the SEC. The address of that website is www.sec.gov.</w:t>
      </w:r>
    </w:p>
    <w:p>
      <w:pPr>
        <w:spacing w:after="0" w:line="57" w:lineRule="exact"/>
        <w:rPr>
          <w:sz w:val="20"/>
          <w:szCs w:val="20"/>
          <w:color w:val="auto"/>
        </w:rPr>
      </w:pPr>
    </w:p>
    <w:p>
      <w:pPr>
        <w:ind w:left="640" w:right="679" w:firstLine="443"/>
        <w:spacing w:after="0" w:line="247" w:lineRule="auto"/>
        <w:rPr>
          <w:sz w:val="20"/>
          <w:szCs w:val="20"/>
          <w:color w:val="auto"/>
        </w:rPr>
      </w:pPr>
      <w:r>
        <w:rPr>
          <w:rFonts w:ascii="Arial" w:cs="Arial" w:eastAsia="Arial" w:hAnsi="Arial"/>
          <w:sz w:val="14"/>
          <w:szCs w:val="14"/>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at the website of the SEC referred to above. We also maintain a website at https://odysseytx.com; upon closing of this offering, you may access these materials free of charge as soon as reasonably practicable after they are electronically filed with, or furnished to, the SEC. The information on or that can be accessed through our website is not a part of this prospectus and the inclusion of our website address in this prospectus is an inactive textual reference only.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2" w:name="page233"/>
    <w:bookmarkEnd w:id="232"/>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72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000" w:type="dxa"/>
            <w:vAlign w:val="bottom"/>
          </w:tcPr>
          <w:p>
            <w:pPr>
              <w:spacing w:after="0"/>
              <w:rPr>
                <w:sz w:val="13"/>
                <w:szCs w:val="13"/>
                <w:color w:val="auto"/>
              </w:rPr>
            </w:pPr>
          </w:p>
        </w:tc>
      </w:tr>
      <w:tr>
        <w:trPr>
          <w:trHeight w:val="902"/>
        </w:trPr>
        <w:tc>
          <w:tcPr>
            <w:tcW w:w="5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gridSpan w:val="5"/>
          </w:tcPr>
          <w:p>
            <w:pPr>
              <w:jc w:val="center"/>
              <w:ind w:right="2300"/>
              <w:spacing w:after="0"/>
              <w:rPr>
                <w:sz w:val="20"/>
                <w:szCs w:val="20"/>
                <w:color w:val="auto"/>
              </w:rPr>
            </w:pPr>
            <w:r>
              <w:rPr>
                <w:rFonts w:ascii="Arial" w:cs="Arial" w:eastAsia="Arial" w:hAnsi="Arial"/>
                <w:sz w:val="14"/>
                <w:szCs w:val="14"/>
                <w:b w:val="1"/>
                <w:bCs w:val="1"/>
                <w:color w:val="auto"/>
              </w:rPr>
              <w:t>Odyssey Therapeutics, Inc.</w:t>
            </w:r>
          </w:p>
        </w:tc>
        <w:tc>
          <w:tcPr>
            <w:tcW w:w="1000" w:type="dxa"/>
            <w:vAlign w:val="bottom"/>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60" w:type="dxa"/>
            <w:vAlign w:val="bottom"/>
            <w:gridSpan w:val="6"/>
          </w:tcPr>
          <w:p>
            <w:pPr>
              <w:jc w:val="center"/>
              <w:ind w:right="1920"/>
              <w:spacing w:after="0"/>
              <w:rPr>
                <w:sz w:val="20"/>
                <w:szCs w:val="20"/>
                <w:color w:val="auto"/>
              </w:rPr>
            </w:pPr>
            <w:r>
              <w:rPr>
                <w:rFonts w:ascii="Arial" w:cs="Arial" w:eastAsia="Arial" w:hAnsi="Arial"/>
                <w:sz w:val="14"/>
                <w:szCs w:val="14"/>
                <w:b w:val="1"/>
                <w:bCs w:val="1"/>
                <w:color w:val="auto"/>
              </w:rPr>
              <w:t>INDEX TO FINANCIAL STATEMENTS</w:t>
            </w:r>
          </w:p>
        </w:tc>
        <w:tc>
          <w:tcPr>
            <w:tcW w:w="1000" w:type="dxa"/>
            <w:vAlign w:val="bottom"/>
          </w:tcPr>
          <w:p>
            <w:pPr>
              <w:spacing w:after="0"/>
              <w:rPr>
                <w:sz w:val="18"/>
                <w:szCs w:val="18"/>
                <w:color w:val="auto"/>
              </w:rPr>
            </w:pPr>
          </w:p>
        </w:tc>
      </w:tr>
      <w:tr>
        <w:trPr>
          <w:trHeight w:val="333"/>
        </w:trPr>
        <w:tc>
          <w:tcPr>
            <w:tcW w:w="520" w:type="dxa"/>
            <w:vAlign w:val="bottom"/>
          </w:tcPr>
          <w:p>
            <w:pPr>
              <w:spacing w:after="0"/>
              <w:rPr>
                <w:sz w:val="24"/>
                <w:szCs w:val="24"/>
                <w:color w:val="auto"/>
              </w:rPr>
            </w:pPr>
          </w:p>
        </w:tc>
        <w:tc>
          <w:tcPr>
            <w:tcW w:w="7260" w:type="dxa"/>
            <w:vAlign w:val="bottom"/>
            <w:gridSpan w:val="11"/>
          </w:tcPr>
          <w:p>
            <w:pPr>
              <w:spacing w:after="0"/>
              <w:rPr>
                <w:sz w:val="20"/>
                <w:szCs w:val="20"/>
                <w:color w:val="auto"/>
              </w:rPr>
            </w:pPr>
            <w:r>
              <w:rPr>
                <w:rFonts w:ascii="Arial" w:cs="Arial" w:eastAsia="Arial" w:hAnsi="Arial"/>
                <w:sz w:val="14"/>
                <w:szCs w:val="14"/>
                <w:b w:val="1"/>
                <w:bCs w:val="1"/>
                <w:color w:val="auto"/>
              </w:rPr>
              <w:t>Audited Consolidated Financial Statements as of and for the Years Ended December 31, 2025 and 2024</w:t>
            </w:r>
          </w:p>
        </w:tc>
        <w:tc>
          <w:tcPr>
            <w:tcW w:w="1000" w:type="dxa"/>
            <w:vAlign w:val="bottom"/>
          </w:tcPr>
          <w:p>
            <w:pPr>
              <w:spacing w:after="0"/>
              <w:rPr>
                <w:sz w:val="24"/>
                <w:szCs w:val="24"/>
                <w:color w:val="auto"/>
              </w:rPr>
            </w:pPr>
          </w:p>
        </w:tc>
      </w:tr>
      <w:tr>
        <w:trPr>
          <w:trHeight w:val="292"/>
        </w:trPr>
        <w:tc>
          <w:tcPr>
            <w:tcW w:w="520" w:type="dxa"/>
            <w:vAlign w:val="bottom"/>
          </w:tcPr>
          <w:p>
            <w:pPr>
              <w:spacing w:after="0"/>
              <w:rPr>
                <w:sz w:val="24"/>
                <w:szCs w:val="24"/>
                <w:color w:val="auto"/>
              </w:rPr>
            </w:pPr>
          </w:p>
        </w:tc>
        <w:tc>
          <w:tcPr>
            <w:tcW w:w="114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Table of Contents</w:t>
            </w:r>
          </w:p>
        </w:tc>
        <w:tc>
          <w:tcPr>
            <w:tcW w:w="6120" w:type="dxa"/>
            <w:vAlign w:val="bottom"/>
            <w:gridSpan w:val="7"/>
          </w:tcPr>
          <w:p>
            <w:pPr>
              <w:spacing w:after="0"/>
              <w:rPr>
                <w:sz w:val="24"/>
                <w:szCs w:val="24"/>
                <w:color w:val="auto"/>
              </w:rPr>
            </w:pPr>
          </w:p>
        </w:tc>
        <w:tc>
          <w:tcPr>
            <w:tcW w:w="1000" w:type="dxa"/>
            <w:vAlign w:val="bottom"/>
          </w:tcPr>
          <w:p>
            <w:pPr>
              <w:spacing w:after="0"/>
              <w:rPr>
                <w:sz w:val="24"/>
                <w:szCs w:val="24"/>
                <w:color w:val="auto"/>
              </w:rPr>
            </w:pPr>
          </w:p>
        </w:tc>
      </w:tr>
      <w:tr>
        <w:trPr>
          <w:trHeight w:val="302"/>
        </w:trPr>
        <w:tc>
          <w:tcPr>
            <w:tcW w:w="520" w:type="dxa"/>
            <w:vAlign w:val="bottom"/>
          </w:tcPr>
          <w:p>
            <w:pPr>
              <w:spacing w:after="0"/>
              <w:rPr>
                <w:sz w:val="24"/>
                <w:szCs w:val="24"/>
                <w:color w:val="auto"/>
              </w:rPr>
            </w:pPr>
          </w:p>
        </w:tc>
        <w:tc>
          <w:tcPr>
            <w:tcW w:w="36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Report of Independent Registered Public Accounting Firm</w:t>
            </w:r>
          </w:p>
        </w:tc>
        <w:tc>
          <w:tcPr>
            <w:tcW w:w="3600" w:type="dxa"/>
            <w:vAlign w:val="bottom"/>
            <w:gridSpan w:val="4"/>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14"/>
                <w:szCs w:val="14"/>
                <w:color w:val="auto"/>
              </w:rPr>
              <w:t>F-2</w:t>
            </w:r>
          </w:p>
        </w:tc>
      </w:tr>
      <w:tr>
        <w:trPr>
          <w:trHeight w:val="337"/>
        </w:trPr>
        <w:tc>
          <w:tcPr>
            <w:tcW w:w="520" w:type="dxa"/>
            <w:vAlign w:val="bottom"/>
          </w:tcPr>
          <w:p>
            <w:pPr>
              <w:spacing w:after="0"/>
              <w:rPr>
                <w:sz w:val="24"/>
                <w:szCs w:val="24"/>
                <w:color w:val="auto"/>
              </w:rPr>
            </w:pPr>
          </w:p>
        </w:tc>
        <w:tc>
          <w:tcPr>
            <w:tcW w:w="7260" w:type="dxa"/>
            <w:vAlign w:val="bottom"/>
            <w:gridSpan w:val="11"/>
          </w:tcPr>
          <w:p>
            <w:pPr>
              <w:spacing w:after="0"/>
              <w:rPr>
                <w:sz w:val="20"/>
                <w:szCs w:val="20"/>
                <w:color w:val="auto"/>
              </w:rPr>
            </w:pPr>
            <w:r>
              <w:rPr>
                <w:rFonts w:ascii="Arial" w:cs="Arial" w:eastAsia="Arial" w:hAnsi="Arial"/>
                <w:sz w:val="14"/>
                <w:szCs w:val="14"/>
                <w:color w:val="auto"/>
              </w:rPr>
              <w:t>Consolidated Financial Statements:</w:t>
            </w:r>
          </w:p>
        </w:tc>
        <w:tc>
          <w:tcPr>
            <w:tcW w:w="1000" w:type="dxa"/>
            <w:vAlign w:val="bottom"/>
          </w:tcPr>
          <w:p>
            <w:pPr>
              <w:spacing w:after="0"/>
              <w:rPr>
                <w:sz w:val="24"/>
                <w:szCs w:val="24"/>
                <w:color w:val="auto"/>
              </w:rPr>
            </w:pPr>
          </w:p>
        </w:tc>
      </w:tr>
      <w:tr>
        <w:trPr>
          <w:trHeight w:val="287"/>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Consolidated Balance Sheets as of December 31, 2025 and 2024</w:t>
            </w:r>
          </w:p>
        </w:tc>
        <w:tc>
          <w:tcPr>
            <w:tcW w:w="2580" w:type="dxa"/>
            <w:vAlign w:val="bottom"/>
            <w:gridSpan w:val="3"/>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14"/>
                <w:szCs w:val="14"/>
                <w:color w:val="auto"/>
              </w:rPr>
              <w:t>F-3</w:t>
            </w:r>
          </w:p>
        </w:tc>
      </w:tr>
      <w:tr>
        <w:trPr>
          <w:trHeight w:val="30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4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Consolidated Statements of Operations and Comprehensive Loss for the years ended December 31, 2025</w:t>
            </w:r>
          </w:p>
        </w:tc>
        <w:tc>
          <w:tcPr>
            <w:tcW w:w="1000" w:type="dxa"/>
            <w:vAlign w:val="bottom"/>
          </w:tcPr>
          <w:p>
            <w:pPr>
              <w:ind w:left="260"/>
              <w:spacing w:after="0"/>
              <w:rPr>
                <w:sz w:val="20"/>
                <w:szCs w:val="20"/>
                <w:color w:val="auto"/>
              </w:rPr>
            </w:pPr>
            <w:r>
              <w:rPr>
                <w:rFonts w:ascii="Arial" w:cs="Arial" w:eastAsia="Arial" w:hAnsi="Arial"/>
                <w:sz w:val="14"/>
                <w:szCs w:val="14"/>
                <w:color w:val="auto"/>
              </w:rPr>
              <w:t>F-4</w:t>
            </w:r>
          </w:p>
        </w:tc>
      </w:tr>
      <w:tr>
        <w:trPr>
          <w:trHeight w:val="141"/>
        </w:trPr>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bottom w:val="single" w:sz="8" w:color="0000FF"/>
            </w:tcBorders>
            <w:gridSpan w:val="2"/>
          </w:tcPr>
          <w:p>
            <w:pPr>
              <w:spacing w:after="0" w:line="141" w:lineRule="exact"/>
              <w:rPr>
                <w:sz w:val="20"/>
                <w:szCs w:val="20"/>
                <w:color w:val="auto"/>
              </w:rPr>
            </w:pPr>
            <w:r>
              <w:rPr>
                <w:rFonts w:ascii="Arial" w:cs="Arial" w:eastAsia="Arial" w:hAnsi="Arial"/>
                <w:sz w:val="14"/>
                <w:szCs w:val="14"/>
                <w:color w:val="0000FF"/>
                <w:w w:val="99"/>
              </w:rPr>
              <w:t>and 2024</w:t>
            </w:r>
          </w:p>
        </w:tc>
        <w:tc>
          <w:tcPr>
            <w:tcW w:w="6140" w:type="dxa"/>
            <w:vAlign w:val="bottom"/>
            <w:gridSpan w:val="8"/>
          </w:tcPr>
          <w:p>
            <w:pPr>
              <w:spacing w:after="0"/>
              <w:rPr>
                <w:sz w:val="12"/>
                <w:szCs w:val="12"/>
                <w:color w:val="auto"/>
              </w:rPr>
            </w:pPr>
          </w:p>
        </w:tc>
        <w:tc>
          <w:tcPr>
            <w:tcW w:w="1000" w:type="dxa"/>
            <w:vAlign w:val="bottom"/>
          </w:tcPr>
          <w:p>
            <w:pPr>
              <w:spacing w:after="0"/>
              <w:rPr>
                <w:sz w:val="12"/>
                <w:szCs w:val="12"/>
                <w:color w:val="auto"/>
              </w:rPr>
            </w:pPr>
          </w:p>
        </w:tc>
      </w:tr>
      <w:tr>
        <w:trPr>
          <w:trHeight w:val="30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40" w:type="dxa"/>
            <w:vAlign w:val="bottom"/>
            <w:gridSpan w:val="10"/>
          </w:tcPr>
          <w:p>
            <w:pPr>
              <w:spacing w:after="0"/>
              <w:rPr>
                <w:sz w:val="20"/>
                <w:szCs w:val="20"/>
                <w:color w:val="auto"/>
              </w:rPr>
            </w:pPr>
            <w:r>
              <w:rPr>
                <w:rFonts w:ascii="Arial" w:cs="Arial" w:eastAsia="Arial" w:hAnsi="Arial"/>
                <w:sz w:val="14"/>
                <w:szCs w:val="14"/>
                <w:color w:val="0000FF"/>
              </w:rPr>
              <w:t>Consolidated Statements of Convertible Preferred Stock and Stockholders’ Deficit for the years ended</w:t>
            </w:r>
          </w:p>
        </w:tc>
        <w:tc>
          <w:tcPr>
            <w:tcW w:w="1000" w:type="dxa"/>
            <w:vAlign w:val="bottom"/>
          </w:tcPr>
          <w:p>
            <w:pPr>
              <w:ind w:left="260"/>
              <w:spacing w:after="0"/>
              <w:rPr>
                <w:sz w:val="20"/>
                <w:szCs w:val="20"/>
                <w:color w:val="auto"/>
              </w:rPr>
            </w:pPr>
            <w:r>
              <w:rPr>
                <w:rFonts w:ascii="Arial" w:cs="Arial" w:eastAsia="Arial" w:hAnsi="Arial"/>
                <w:sz w:val="14"/>
                <w:szCs w:val="14"/>
                <w:color w:val="auto"/>
              </w:rPr>
              <w:t>F-5</w:t>
            </w:r>
          </w:p>
        </w:tc>
      </w:tr>
      <w:tr>
        <w:trPr>
          <w:trHeight w:val="141"/>
        </w:trPr>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80" w:type="dxa"/>
            <w:vAlign w:val="bottom"/>
            <w:tcBorders>
              <w:top w:val="single" w:sz="8" w:color="0000FF"/>
            </w:tcBorders>
            <w:gridSpan w:val="9"/>
          </w:tcPr>
          <w:p>
            <w:pPr>
              <w:spacing w:after="0" w:line="141" w:lineRule="exact"/>
              <w:rPr>
                <w:sz w:val="20"/>
                <w:szCs w:val="20"/>
                <w:color w:val="auto"/>
              </w:rPr>
            </w:pPr>
            <w:r>
              <w:rPr>
                <w:rFonts w:ascii="Arial" w:cs="Arial" w:eastAsia="Arial" w:hAnsi="Arial"/>
                <w:sz w:val="14"/>
                <w:szCs w:val="14"/>
                <w:color w:val="0000FF"/>
              </w:rPr>
              <w:t>December 31, 2025 and 2024</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40" w:type="dxa"/>
            <w:vAlign w:val="bottom"/>
            <w:gridSpan w:val="10"/>
          </w:tcPr>
          <w:p>
            <w:pPr>
              <w:spacing w:after="0"/>
              <w:rPr>
                <w:sz w:val="20"/>
                <w:szCs w:val="20"/>
                <w:color w:val="auto"/>
              </w:rPr>
            </w:pPr>
            <w:r>
              <w:rPr>
                <w:rFonts w:ascii="Arial" w:cs="Arial" w:eastAsia="Arial" w:hAnsi="Arial"/>
                <w:sz w:val="14"/>
                <w:szCs w:val="14"/>
                <w:color w:val="0000FF"/>
              </w:rPr>
              <w:t>Consolidated Statements of Cash Flows for the years ended December 31, 2025 and 2024</w:t>
            </w:r>
          </w:p>
        </w:tc>
        <w:tc>
          <w:tcPr>
            <w:tcW w:w="1000" w:type="dxa"/>
            <w:vAlign w:val="bottom"/>
          </w:tcPr>
          <w:p>
            <w:pPr>
              <w:ind w:left="260"/>
              <w:spacing w:after="0"/>
              <w:rPr>
                <w:sz w:val="20"/>
                <w:szCs w:val="20"/>
                <w:color w:val="auto"/>
              </w:rPr>
            </w:pPr>
            <w:r>
              <w:rPr>
                <w:rFonts w:ascii="Arial" w:cs="Arial" w:eastAsia="Arial" w:hAnsi="Arial"/>
                <w:sz w:val="14"/>
                <w:szCs w:val="14"/>
                <w:color w:val="auto"/>
              </w:rPr>
              <w:t>F-6</w:t>
            </w: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2"/>
        </w:trPr>
        <w:tc>
          <w:tcPr>
            <w:tcW w:w="520" w:type="dxa"/>
            <w:vAlign w:val="bottom"/>
          </w:tcPr>
          <w:p>
            <w:pPr>
              <w:spacing w:after="0"/>
              <w:rPr>
                <w:sz w:val="24"/>
                <w:szCs w:val="24"/>
                <w:color w:val="auto"/>
              </w:rPr>
            </w:pPr>
          </w:p>
        </w:tc>
        <w:tc>
          <w:tcPr>
            <w:tcW w:w="7260" w:type="dxa"/>
            <w:vAlign w:val="bottom"/>
            <w:gridSpan w:val="11"/>
          </w:tcPr>
          <w:p>
            <w:pPr>
              <w:spacing w:after="0"/>
              <w:rPr>
                <w:sz w:val="20"/>
                <w:szCs w:val="20"/>
                <w:color w:val="auto"/>
              </w:rPr>
            </w:pPr>
            <w:r>
              <w:rPr>
                <w:rFonts w:ascii="Arial" w:cs="Arial" w:eastAsia="Arial" w:hAnsi="Arial"/>
                <w:sz w:val="14"/>
                <w:szCs w:val="14"/>
                <w:color w:val="0000FF"/>
              </w:rPr>
              <w:t>Notes to Consolidated Financial Statements</w:t>
            </w:r>
          </w:p>
        </w:tc>
        <w:tc>
          <w:tcPr>
            <w:tcW w:w="1000" w:type="dxa"/>
            <w:vAlign w:val="bottom"/>
          </w:tcPr>
          <w:p>
            <w:pPr>
              <w:ind w:left="260"/>
              <w:spacing w:after="0"/>
              <w:rPr>
                <w:sz w:val="20"/>
                <w:szCs w:val="20"/>
                <w:color w:val="auto"/>
              </w:rPr>
            </w:pPr>
            <w:r>
              <w:rPr>
                <w:rFonts w:ascii="Arial" w:cs="Arial" w:eastAsia="Arial" w:hAnsi="Arial"/>
                <w:sz w:val="14"/>
                <w:szCs w:val="14"/>
                <w:color w:val="auto"/>
              </w:rPr>
              <w:t>F-7</w:t>
            </w:r>
          </w:p>
        </w:tc>
      </w:tr>
      <w:tr>
        <w:trPr>
          <w:trHeight w:val="434"/>
        </w:trPr>
        <w:tc>
          <w:tcPr>
            <w:tcW w:w="5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gridSpan w:val="4"/>
          </w:tcPr>
          <w:p>
            <w:pPr>
              <w:jc w:val="center"/>
              <w:ind w:right="3180"/>
              <w:spacing w:after="0"/>
              <w:rPr>
                <w:sz w:val="20"/>
                <w:szCs w:val="20"/>
                <w:color w:val="auto"/>
              </w:rPr>
            </w:pPr>
            <w:r>
              <w:rPr>
                <w:rFonts w:ascii="Arial" w:cs="Arial" w:eastAsia="Arial" w:hAnsi="Arial"/>
                <w:sz w:val="14"/>
                <w:szCs w:val="14"/>
                <w:color w:val="auto"/>
              </w:rPr>
              <w:t>F-1</w:t>
            </w:r>
          </w:p>
        </w:tc>
        <w:tc>
          <w:tcPr>
            <w:tcW w:w="1000" w:type="dxa"/>
            <w:vAlign w:val="bottom"/>
          </w:tcPr>
          <w:p>
            <w:pPr>
              <w:spacing w:after="0"/>
              <w:rPr>
                <w:sz w:val="24"/>
                <w:szCs w:val="24"/>
                <w:color w:val="auto"/>
              </w:rPr>
            </w:pPr>
          </w:p>
        </w:tc>
      </w:tr>
      <w:tr>
        <w:trPr>
          <w:trHeight w:val="589"/>
        </w:trPr>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3" w:name="page234"/>
    <w:bookmarkEnd w:id="23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Odyssey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To the stockholders and the Board of Directors of Odyssey Therapeutics, Inc.</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Opinion on the Financial Statements</w:t>
      </w:r>
    </w:p>
    <w:p>
      <w:pPr>
        <w:spacing w:after="0" w:line="86" w:lineRule="exact"/>
        <w:rPr>
          <w:sz w:val="20"/>
          <w:szCs w:val="20"/>
          <w:color w:val="auto"/>
        </w:rPr>
      </w:pPr>
    </w:p>
    <w:p>
      <w:pPr>
        <w:ind w:left="640" w:right="719"/>
        <w:spacing w:after="0" w:line="247" w:lineRule="auto"/>
        <w:rPr>
          <w:sz w:val="20"/>
          <w:szCs w:val="20"/>
          <w:color w:val="auto"/>
        </w:rPr>
      </w:pPr>
      <w:r>
        <w:rPr>
          <w:rFonts w:ascii="Arial" w:cs="Arial" w:eastAsia="Arial" w:hAnsi="Arial"/>
          <w:sz w:val="14"/>
          <w:szCs w:val="14"/>
          <w:color w:val="auto"/>
        </w:rPr>
        <w:t>We have audited the accompanying consolidated balance sheets of Odyssey Therapeutics, Inc. and subsidiaries (the "Company") as of December 31, 2025 and 2024, the related consolidated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Going Concern</w:t>
      </w:r>
    </w:p>
    <w:p>
      <w:pPr>
        <w:spacing w:after="0" w:line="86" w:lineRule="exact"/>
        <w:rPr>
          <w:sz w:val="20"/>
          <w:szCs w:val="20"/>
          <w:color w:val="auto"/>
        </w:rPr>
      </w:pPr>
    </w:p>
    <w:p>
      <w:pPr>
        <w:ind w:left="640" w:right="739"/>
        <w:spacing w:after="0" w:line="248" w:lineRule="auto"/>
        <w:rPr>
          <w:sz w:val="20"/>
          <w:szCs w:val="20"/>
          <w:color w:val="auto"/>
        </w:rPr>
      </w:pPr>
      <w:r>
        <w:rPr>
          <w:rFonts w:ascii="Arial" w:cs="Arial" w:eastAsia="Arial" w:hAnsi="Arial"/>
          <w:sz w:val="14"/>
          <w:szCs w:val="14"/>
          <w:color w:val="auto"/>
        </w:rPr>
        <w:t>The accompanying financial statements have been prepared assuming that the Company will continue as a going concern. As discussed in Note 1 to the financial statements, the Company’s recurring losses from operations incurred since inception, expectation of continuing operating losses for the foreseeable future, and the need to raise additional capital to finance its future operations,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Basis for Opinion</w:t>
      </w:r>
    </w:p>
    <w:p>
      <w:pPr>
        <w:spacing w:after="0" w:line="86" w:lineRule="exact"/>
        <w:rPr>
          <w:sz w:val="20"/>
          <w:szCs w:val="20"/>
          <w:color w:val="auto"/>
        </w:rPr>
      </w:pPr>
    </w:p>
    <w:p>
      <w:pPr>
        <w:ind w:left="640" w:right="799"/>
        <w:spacing w:after="0" w:line="250"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640" w:right="679"/>
        <w:spacing w:after="0" w:line="247" w:lineRule="auto"/>
        <w:rPr>
          <w:sz w:val="20"/>
          <w:szCs w:val="20"/>
          <w:color w:val="auto"/>
        </w:rPr>
      </w:pPr>
      <w:r>
        <w:rPr>
          <w:rFonts w:ascii="Arial" w:cs="Arial" w:eastAsia="Arial" w:hAnsi="Arial"/>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ind w:left="640" w:right="719"/>
        <w:spacing w:after="0" w:line="250"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Deloitte &amp; Touche LLP</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Boston, Massachusetts</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March 16, 2026</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We have served as the Company’s auditor since 2022.</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4" w:name="page235"/>
    <w:bookmarkEnd w:id="23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Odyssey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299"/>
              <w:spacing w:after="0"/>
              <w:rPr>
                <w:sz w:val="20"/>
                <w:szCs w:val="20"/>
                <w:color w:val="auto"/>
              </w:rPr>
            </w:pPr>
            <w:r>
              <w:rPr>
                <w:rFonts w:ascii="Arial" w:cs="Arial" w:eastAsia="Arial" w:hAnsi="Arial"/>
                <w:sz w:val="12"/>
                <w:szCs w:val="12"/>
                <w:b w:val="1"/>
                <w:bCs w:val="1"/>
                <w:color w:val="auto"/>
              </w:rPr>
              <w:t>December 31,</w:t>
            </w: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2024</w:t>
            </w:r>
          </w:p>
        </w:tc>
      </w:tr>
      <w:tr>
        <w:trPr>
          <w:trHeight w:val="120"/>
        </w:trPr>
        <w:tc>
          <w:tcPr>
            <w:tcW w:w="20" w:type="dxa"/>
            <w:vAlign w:val="bottom"/>
          </w:tcPr>
          <w:p>
            <w:pPr>
              <w:spacing w:after="0"/>
              <w:rPr>
                <w:sz w:val="10"/>
                <w:szCs w:val="10"/>
                <w:color w:val="auto"/>
              </w:rPr>
            </w:pPr>
          </w:p>
        </w:tc>
        <w:tc>
          <w:tcPr>
            <w:tcW w:w="6300" w:type="dxa"/>
            <w:vAlign w:val="bottom"/>
            <w:shd w:val="clear" w:color="auto" w:fill="CFF0FC"/>
          </w:tcPr>
          <w:p>
            <w:pPr>
              <w:spacing w:after="0" w:line="120"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ind w:left="120"/>
              <w:spacing w:after="0" w:line="129" w:lineRule="exact"/>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ind w:right="19"/>
              <w:spacing w:after="0" w:line="129" w:lineRule="exact"/>
              <w:rPr>
                <w:sz w:val="20"/>
                <w:szCs w:val="20"/>
                <w:color w:val="auto"/>
              </w:rPr>
            </w:pPr>
            <w:r>
              <w:rPr>
                <w:rFonts w:ascii="Arial" w:cs="Arial" w:eastAsia="Arial" w:hAnsi="Arial"/>
                <w:sz w:val="12"/>
                <w:szCs w:val="12"/>
                <w:color w:val="auto"/>
              </w:rPr>
              <w:t>41,687</w:t>
            </w:r>
          </w:p>
        </w:tc>
        <w:tc>
          <w:tcPr>
            <w:tcW w:w="2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ind w:right="39"/>
              <w:spacing w:after="0" w:line="129" w:lineRule="exact"/>
              <w:rPr>
                <w:sz w:val="20"/>
                <w:szCs w:val="20"/>
                <w:color w:val="auto"/>
              </w:rPr>
            </w:pPr>
            <w:r>
              <w:rPr>
                <w:rFonts w:ascii="Arial" w:cs="Arial" w:eastAsia="Arial" w:hAnsi="Arial"/>
                <w:sz w:val="12"/>
                <w:szCs w:val="12"/>
                <w:color w:val="auto"/>
              </w:rPr>
              <w:t>59,136</w:t>
            </w:r>
          </w:p>
        </w:tc>
      </w:tr>
      <w:tr>
        <w:trPr>
          <w:trHeight w:val="129"/>
        </w:trPr>
        <w:tc>
          <w:tcPr>
            <w:tcW w:w="20" w:type="dxa"/>
            <w:vAlign w:val="bottom"/>
          </w:tcPr>
          <w:p>
            <w:pPr>
              <w:spacing w:after="0"/>
              <w:rPr>
                <w:sz w:val="11"/>
                <w:szCs w:val="11"/>
                <w:color w:val="auto"/>
              </w:rPr>
            </w:pPr>
          </w:p>
        </w:tc>
        <w:tc>
          <w:tcPr>
            <w:tcW w:w="6300" w:type="dxa"/>
            <w:vAlign w:val="bottom"/>
          </w:tcPr>
          <w:p>
            <w:pPr>
              <w:ind w:left="120"/>
              <w:spacing w:after="0" w:line="129" w:lineRule="exact"/>
              <w:rPr>
                <w:sz w:val="20"/>
                <w:szCs w:val="20"/>
                <w:color w:val="auto"/>
              </w:rPr>
            </w:pPr>
            <w:r>
              <w:rPr>
                <w:rFonts w:ascii="Arial" w:cs="Arial" w:eastAsia="Arial" w:hAnsi="Arial"/>
                <w:sz w:val="12"/>
                <w:szCs w:val="12"/>
                <w:color w:val="auto"/>
              </w:rPr>
              <w:t>Short-term marketable securities</w:t>
            </w:r>
          </w:p>
        </w:tc>
        <w:tc>
          <w:tcPr>
            <w:tcW w:w="80" w:type="dxa"/>
            <w:vAlign w:val="bottom"/>
          </w:tcPr>
          <w:p>
            <w:pPr>
              <w:spacing w:after="0"/>
              <w:rPr>
                <w:sz w:val="11"/>
                <w:szCs w:val="11"/>
                <w:color w:val="auto"/>
              </w:rPr>
            </w:pP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139,671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9"/>
              <w:spacing w:after="0" w:line="129" w:lineRule="exact"/>
              <w:rPr>
                <w:sz w:val="20"/>
                <w:szCs w:val="20"/>
                <w:color w:val="auto"/>
              </w:rPr>
            </w:pPr>
            <w:r>
              <w:rPr>
                <w:rFonts w:ascii="Arial" w:cs="Arial" w:eastAsia="Arial" w:hAnsi="Arial"/>
                <w:sz w:val="12"/>
                <w:szCs w:val="12"/>
                <w:color w:val="auto"/>
              </w:rPr>
              <w:t>70,218</w:t>
            </w:r>
          </w:p>
        </w:tc>
      </w:tr>
      <w:tr>
        <w:trPr>
          <w:trHeight w:val="129"/>
        </w:trPr>
        <w:tc>
          <w:tcPr>
            <w:tcW w:w="20" w:type="dxa"/>
            <w:vAlign w:val="bottom"/>
          </w:tcPr>
          <w:p>
            <w:pPr>
              <w:spacing w:after="0"/>
              <w:rPr>
                <w:sz w:val="11"/>
                <w:szCs w:val="11"/>
                <w:color w:val="auto"/>
              </w:rPr>
            </w:pPr>
          </w:p>
        </w:tc>
        <w:tc>
          <w:tcPr>
            <w:tcW w:w="6300" w:type="dxa"/>
            <w:vAlign w:val="bottom"/>
            <w:tcBorders>
              <w:bottom w:val="single" w:sz="8" w:color="CFF0FC"/>
            </w:tcBorders>
            <w:shd w:val="clear" w:color="auto" w:fill="CFF0FC"/>
          </w:tcPr>
          <w:p>
            <w:pPr>
              <w:ind w:left="12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9"/>
              <w:spacing w:after="0" w:line="129" w:lineRule="exact"/>
              <w:rPr>
                <w:sz w:val="20"/>
                <w:szCs w:val="20"/>
                <w:color w:val="auto"/>
              </w:rPr>
            </w:pPr>
            <w:r>
              <w:rPr>
                <w:rFonts w:ascii="Arial" w:cs="Arial" w:eastAsia="Arial" w:hAnsi="Arial"/>
                <w:sz w:val="12"/>
                <w:szCs w:val="12"/>
                <w:color w:val="auto"/>
              </w:rPr>
              <w:t>9,298</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39"/>
              <w:spacing w:after="0" w:line="129" w:lineRule="exact"/>
              <w:rPr>
                <w:sz w:val="20"/>
                <w:szCs w:val="20"/>
                <w:color w:val="auto"/>
              </w:rPr>
            </w:pPr>
            <w:r>
              <w:rPr>
                <w:rFonts w:ascii="Arial" w:cs="Arial" w:eastAsia="Arial" w:hAnsi="Arial"/>
                <w:sz w:val="12"/>
                <w:szCs w:val="12"/>
                <w:color w:val="auto"/>
              </w:rPr>
              <w:t>6,156</w:t>
            </w:r>
          </w:p>
        </w:tc>
      </w:tr>
      <w:tr>
        <w:trPr>
          <w:trHeight w:val="120"/>
        </w:trPr>
        <w:tc>
          <w:tcPr>
            <w:tcW w:w="20" w:type="dxa"/>
            <w:vAlign w:val="bottom"/>
          </w:tcPr>
          <w:p>
            <w:pPr>
              <w:spacing w:after="0"/>
              <w:rPr>
                <w:sz w:val="10"/>
                <w:szCs w:val="10"/>
                <w:color w:val="auto"/>
              </w:rPr>
            </w:pPr>
          </w:p>
        </w:tc>
        <w:tc>
          <w:tcPr>
            <w:tcW w:w="6300" w:type="dxa"/>
            <w:vAlign w:val="bottom"/>
          </w:tcPr>
          <w:p>
            <w:pPr>
              <w:ind w:left="260"/>
              <w:spacing w:after="0" w:line="120" w:lineRule="exact"/>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0"/>
                <w:szCs w:val="10"/>
                <w:color w:val="auto"/>
              </w:rPr>
            </w:pPr>
          </w:p>
        </w:tc>
        <w:tc>
          <w:tcPr>
            <w:tcW w:w="560" w:type="dxa"/>
            <w:vAlign w:val="bottom"/>
          </w:tcPr>
          <w:p>
            <w:pPr>
              <w:jc w:val="right"/>
              <w:ind w:right="19"/>
              <w:spacing w:after="0" w:line="120" w:lineRule="exact"/>
              <w:rPr>
                <w:sz w:val="20"/>
                <w:szCs w:val="20"/>
                <w:color w:val="auto"/>
              </w:rPr>
            </w:pPr>
            <w:r>
              <w:rPr>
                <w:rFonts w:ascii="Arial" w:cs="Arial" w:eastAsia="Arial" w:hAnsi="Arial"/>
                <w:sz w:val="12"/>
                <w:szCs w:val="12"/>
                <w:color w:val="auto"/>
              </w:rPr>
              <w:t>190,656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39"/>
              <w:spacing w:after="0" w:line="120" w:lineRule="exact"/>
              <w:rPr>
                <w:sz w:val="20"/>
                <w:szCs w:val="20"/>
                <w:color w:val="auto"/>
              </w:rPr>
            </w:pPr>
            <w:r>
              <w:rPr>
                <w:rFonts w:ascii="Arial" w:cs="Arial" w:eastAsia="Arial" w:hAnsi="Arial"/>
                <w:sz w:val="12"/>
                <w:szCs w:val="12"/>
                <w:color w:val="auto"/>
              </w:rPr>
              <w:t>135,510</w:t>
            </w: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Property and equipment, net</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9"/>
              <w:spacing w:after="0" w:line="129" w:lineRule="exact"/>
              <w:rPr>
                <w:sz w:val="20"/>
                <w:szCs w:val="20"/>
                <w:color w:val="auto"/>
              </w:rPr>
            </w:pPr>
            <w:r>
              <w:rPr>
                <w:rFonts w:ascii="Arial" w:cs="Arial" w:eastAsia="Arial" w:hAnsi="Arial"/>
                <w:sz w:val="12"/>
                <w:szCs w:val="12"/>
                <w:color w:val="auto"/>
              </w:rPr>
              <w:t>7,209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9"/>
              <w:spacing w:after="0" w:line="129" w:lineRule="exact"/>
              <w:rPr>
                <w:sz w:val="20"/>
                <w:szCs w:val="20"/>
                <w:color w:val="auto"/>
              </w:rPr>
            </w:pPr>
            <w:r>
              <w:rPr>
                <w:rFonts w:ascii="Arial" w:cs="Arial" w:eastAsia="Arial" w:hAnsi="Arial"/>
                <w:sz w:val="12"/>
                <w:szCs w:val="12"/>
                <w:color w:val="auto"/>
              </w:rPr>
              <w:t>12,103</w:t>
            </w:r>
          </w:p>
        </w:tc>
      </w:tr>
      <w:tr>
        <w:trPr>
          <w:trHeight w:val="129"/>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Arial" w:cs="Arial" w:eastAsia="Arial" w:hAnsi="Arial"/>
                <w:sz w:val="12"/>
                <w:szCs w:val="12"/>
                <w:color w:val="auto"/>
              </w:rPr>
              <w:t>Right-of-use assets</w:t>
            </w:r>
          </w:p>
        </w:tc>
        <w:tc>
          <w:tcPr>
            <w:tcW w:w="80" w:type="dxa"/>
            <w:vAlign w:val="bottom"/>
          </w:tcPr>
          <w:p>
            <w:pPr>
              <w:spacing w:after="0"/>
              <w:rPr>
                <w:sz w:val="11"/>
                <w:szCs w:val="11"/>
                <w:color w:val="auto"/>
              </w:rPr>
            </w:pP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18,804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9"/>
              <w:spacing w:after="0" w:line="129" w:lineRule="exact"/>
              <w:rPr>
                <w:sz w:val="20"/>
                <w:szCs w:val="20"/>
                <w:color w:val="auto"/>
              </w:rPr>
            </w:pPr>
            <w:r>
              <w:rPr>
                <w:rFonts w:ascii="Arial" w:cs="Arial" w:eastAsia="Arial" w:hAnsi="Arial"/>
                <w:sz w:val="12"/>
                <w:szCs w:val="12"/>
                <w:color w:val="auto"/>
              </w:rPr>
              <w:t>27,367</w:t>
            </w: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Goodwill</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9"/>
              <w:spacing w:after="0" w:line="129" w:lineRule="exact"/>
              <w:rPr>
                <w:sz w:val="20"/>
                <w:szCs w:val="20"/>
                <w:color w:val="auto"/>
              </w:rPr>
            </w:pPr>
            <w:r>
              <w:rPr>
                <w:rFonts w:ascii="Arial" w:cs="Arial" w:eastAsia="Arial" w:hAnsi="Arial"/>
                <w:sz w:val="12"/>
                <w:szCs w:val="12"/>
                <w:color w:val="auto"/>
              </w:rPr>
              <w:t>14,327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9"/>
              <w:spacing w:after="0" w:line="129" w:lineRule="exact"/>
              <w:rPr>
                <w:sz w:val="20"/>
                <w:szCs w:val="20"/>
                <w:color w:val="auto"/>
              </w:rPr>
            </w:pPr>
            <w:r>
              <w:rPr>
                <w:rFonts w:ascii="Arial" w:cs="Arial" w:eastAsia="Arial" w:hAnsi="Arial"/>
                <w:sz w:val="12"/>
                <w:szCs w:val="12"/>
                <w:color w:val="auto"/>
              </w:rPr>
              <w:t>13,346</w:t>
            </w:r>
          </w:p>
        </w:tc>
      </w:tr>
      <w:tr>
        <w:trPr>
          <w:trHeight w:val="129"/>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Arial" w:cs="Arial" w:eastAsia="Arial" w:hAnsi="Arial"/>
                <w:sz w:val="12"/>
                <w:szCs w:val="12"/>
                <w:color w:val="auto"/>
              </w:rPr>
              <w:t>Intangible assets</w:t>
            </w:r>
          </w:p>
        </w:tc>
        <w:tc>
          <w:tcPr>
            <w:tcW w:w="80" w:type="dxa"/>
            <w:vAlign w:val="bottom"/>
          </w:tcPr>
          <w:p>
            <w:pPr>
              <w:spacing w:after="0"/>
              <w:rPr>
                <w:sz w:val="11"/>
                <w:szCs w:val="11"/>
                <w:color w:val="auto"/>
              </w:rPr>
            </w:pP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262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9"/>
              <w:spacing w:after="0" w:line="129" w:lineRule="exact"/>
              <w:rPr>
                <w:sz w:val="20"/>
                <w:szCs w:val="20"/>
                <w:color w:val="auto"/>
              </w:rPr>
            </w:pPr>
            <w:r>
              <w:rPr>
                <w:rFonts w:ascii="Arial" w:cs="Arial" w:eastAsia="Arial" w:hAnsi="Arial"/>
                <w:sz w:val="12"/>
                <w:szCs w:val="12"/>
                <w:color w:val="auto"/>
              </w:rPr>
              <w:t>570</w:t>
            </w: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Long-term marketable securities</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9"/>
              <w:spacing w:after="0" w:line="129" w:lineRule="exact"/>
              <w:rPr>
                <w:sz w:val="20"/>
                <w:szCs w:val="20"/>
                <w:color w:val="auto"/>
              </w:rPr>
            </w:pPr>
            <w:r>
              <w:rPr>
                <w:rFonts w:ascii="Arial" w:cs="Arial" w:eastAsia="Arial" w:hAnsi="Arial"/>
                <w:sz w:val="12"/>
                <w:szCs w:val="12"/>
                <w:color w:val="auto"/>
              </w:rPr>
              <w:t>35,198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9"/>
              <w:spacing w:after="0" w:line="129" w:lineRule="exact"/>
              <w:rPr>
                <w:sz w:val="20"/>
                <w:szCs w:val="20"/>
                <w:color w:val="auto"/>
              </w:rPr>
            </w:pPr>
            <w:r>
              <w:rPr>
                <w:rFonts w:ascii="Arial" w:cs="Arial" w:eastAsia="Arial" w:hAnsi="Arial"/>
                <w:sz w:val="12"/>
                <w:szCs w:val="12"/>
                <w:color w:val="auto"/>
              </w:rPr>
              <w:t>-</w:t>
            </w:r>
          </w:p>
        </w:tc>
      </w:tr>
      <w:tr>
        <w:trPr>
          <w:trHeight w:val="129"/>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Arial" w:cs="Arial" w:eastAsia="Arial" w:hAnsi="Arial"/>
                <w:sz w:val="12"/>
                <w:szCs w:val="12"/>
                <w:color w:val="auto"/>
              </w:rPr>
              <w:t>Other non-current assets</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
              <w:spacing w:after="0" w:line="129" w:lineRule="exact"/>
              <w:rPr>
                <w:sz w:val="20"/>
                <w:szCs w:val="20"/>
                <w:color w:val="auto"/>
              </w:rPr>
            </w:pPr>
            <w:r>
              <w:rPr>
                <w:rFonts w:ascii="Arial" w:cs="Arial" w:eastAsia="Arial" w:hAnsi="Arial"/>
                <w:sz w:val="12"/>
                <w:szCs w:val="12"/>
                <w:color w:val="auto"/>
              </w:rPr>
              <w:t>3,332</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9"/>
              <w:spacing w:after="0" w:line="129" w:lineRule="exact"/>
              <w:rPr>
                <w:sz w:val="20"/>
                <w:szCs w:val="20"/>
                <w:color w:val="auto"/>
              </w:rPr>
            </w:pPr>
            <w:r>
              <w:rPr>
                <w:rFonts w:ascii="Arial" w:cs="Arial" w:eastAsia="Arial" w:hAnsi="Arial"/>
                <w:sz w:val="12"/>
                <w:szCs w:val="12"/>
                <w:color w:val="auto"/>
              </w:rPr>
              <w:t>8,539</w:t>
            </w:r>
          </w:p>
        </w:tc>
      </w:tr>
      <w:tr>
        <w:trPr>
          <w:trHeight w:val="160"/>
        </w:trPr>
        <w:tc>
          <w:tcPr>
            <w:tcW w:w="20" w:type="dxa"/>
            <w:vAlign w:val="bottom"/>
          </w:tcPr>
          <w:p>
            <w:pPr>
              <w:spacing w:after="0"/>
              <w:rPr>
                <w:sz w:val="13"/>
                <w:szCs w:val="13"/>
                <w:color w:val="auto"/>
              </w:rPr>
            </w:pPr>
          </w:p>
        </w:tc>
        <w:tc>
          <w:tcPr>
            <w:tcW w:w="6300" w:type="dxa"/>
            <w:vAlign w:val="bottom"/>
            <w:tcBorders>
              <w:bottom w:val="single" w:sz="8" w:color="CFF0FC"/>
            </w:tcBorders>
            <w:shd w:val="clear" w:color="auto" w:fill="CFF0FC"/>
          </w:tcPr>
          <w:p>
            <w:pPr>
              <w:ind w:left="260"/>
              <w:spacing w:after="0" w:line="120" w:lineRule="exact"/>
              <w:rPr>
                <w:sz w:val="20"/>
                <w:szCs w:val="20"/>
                <w:color w:val="auto"/>
              </w:rPr>
            </w:pPr>
            <w:r>
              <w:rPr>
                <w:rFonts w:ascii="Arial" w:cs="Arial" w:eastAsia="Arial" w:hAnsi="Arial"/>
                <w:sz w:val="12"/>
                <w:szCs w:val="12"/>
                <w:color w:val="auto"/>
              </w:rPr>
              <w:t>Total assets</w:t>
            </w:r>
          </w:p>
        </w:tc>
        <w:tc>
          <w:tcPr>
            <w:tcW w:w="80" w:type="dxa"/>
            <w:vAlign w:val="bottom"/>
            <w:tcBorders>
              <w:bottom w:val="single" w:sz="8" w:color="auto"/>
            </w:tcBorders>
            <w:shd w:val="clear" w:color="auto" w:fill="CFF0FC"/>
          </w:tcPr>
          <w:p>
            <w:pPr>
              <w:jc w:val="right"/>
              <w:spacing w:after="0" w:line="109" w:lineRule="exact"/>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ind w:right="19"/>
              <w:spacing w:after="0" w:line="109" w:lineRule="exact"/>
              <w:rPr>
                <w:sz w:val="20"/>
                <w:szCs w:val="20"/>
                <w:color w:val="auto"/>
              </w:rPr>
            </w:pPr>
            <w:r>
              <w:rPr>
                <w:rFonts w:ascii="Arial" w:cs="Arial" w:eastAsia="Arial" w:hAnsi="Arial"/>
                <w:sz w:val="12"/>
                <w:szCs w:val="12"/>
                <w:color w:val="auto"/>
              </w:rPr>
              <w:t>269,788</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09"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ind w:right="39"/>
              <w:spacing w:after="0" w:line="109" w:lineRule="exact"/>
              <w:rPr>
                <w:sz w:val="20"/>
                <w:szCs w:val="20"/>
                <w:color w:val="auto"/>
              </w:rPr>
            </w:pPr>
            <w:r>
              <w:rPr>
                <w:rFonts w:ascii="Arial" w:cs="Arial" w:eastAsia="Arial" w:hAnsi="Arial"/>
                <w:sz w:val="12"/>
                <w:szCs w:val="12"/>
                <w:color w:val="auto"/>
              </w:rPr>
              <w:t>197,435</w:t>
            </w:r>
          </w:p>
        </w:tc>
      </w:tr>
      <w:tr>
        <w:trPr>
          <w:trHeight w:val="101"/>
        </w:trPr>
        <w:tc>
          <w:tcPr>
            <w:tcW w:w="20" w:type="dxa"/>
            <w:vAlign w:val="bottom"/>
          </w:tcPr>
          <w:p>
            <w:pPr>
              <w:spacing w:after="0"/>
              <w:rPr>
                <w:sz w:val="8"/>
                <w:szCs w:val="8"/>
                <w:color w:val="auto"/>
              </w:rPr>
            </w:pPr>
          </w:p>
        </w:tc>
        <w:tc>
          <w:tcPr>
            <w:tcW w:w="6300" w:type="dxa"/>
            <w:vAlign w:val="bottom"/>
          </w:tcPr>
          <w:p>
            <w:pPr>
              <w:spacing w:after="0" w:line="101" w:lineRule="exact"/>
              <w:rPr>
                <w:sz w:val="20"/>
                <w:szCs w:val="20"/>
                <w:color w:val="auto"/>
              </w:rPr>
            </w:pPr>
            <w:r>
              <w:rPr>
                <w:rFonts w:ascii="Arial" w:cs="Arial" w:eastAsia="Arial" w:hAnsi="Arial"/>
                <w:sz w:val="11"/>
                <w:szCs w:val="11"/>
                <w:b w:val="1"/>
                <w:bCs w:val="1"/>
                <w:color w:val="auto"/>
              </w:rPr>
              <w:t>Liabilities, Convertible Preferred Stock and Stockholders’ Deficit</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Current liabilities:</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300" w:type="dxa"/>
            <w:vAlign w:val="bottom"/>
          </w:tcPr>
          <w:p>
            <w:pPr>
              <w:ind w:left="120"/>
              <w:spacing w:after="0" w:line="129" w:lineRule="exact"/>
              <w:rPr>
                <w:sz w:val="20"/>
                <w:szCs w:val="20"/>
                <w:color w:val="auto"/>
              </w:rPr>
            </w:pPr>
            <w:r>
              <w:rPr>
                <w:rFonts w:ascii="Arial" w:cs="Arial" w:eastAsia="Arial" w:hAnsi="Arial"/>
                <w:sz w:val="12"/>
                <w:szCs w:val="12"/>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7,872</w:t>
            </w:r>
          </w:p>
        </w:tc>
        <w:tc>
          <w:tcPr>
            <w:tcW w:w="2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39"/>
              <w:spacing w:after="0" w:line="129" w:lineRule="exact"/>
              <w:rPr>
                <w:sz w:val="20"/>
                <w:szCs w:val="20"/>
                <w:color w:val="auto"/>
              </w:rPr>
            </w:pPr>
            <w:r>
              <w:rPr>
                <w:rFonts w:ascii="Arial" w:cs="Arial" w:eastAsia="Arial" w:hAnsi="Arial"/>
                <w:sz w:val="12"/>
                <w:szCs w:val="12"/>
                <w:color w:val="auto"/>
              </w:rPr>
              <w:t>6,319</w:t>
            </w: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ind w:left="120"/>
              <w:spacing w:after="0" w:line="129" w:lineRule="exact"/>
              <w:rPr>
                <w:sz w:val="20"/>
                <w:szCs w:val="20"/>
                <w:color w:val="auto"/>
              </w:rPr>
            </w:pPr>
            <w:r>
              <w:rPr>
                <w:rFonts w:ascii="Arial" w:cs="Arial" w:eastAsia="Arial" w:hAnsi="Arial"/>
                <w:sz w:val="12"/>
                <w:szCs w:val="12"/>
                <w:color w:val="auto"/>
              </w:rPr>
              <w:t>Accrued expenses and other current liabilities</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9"/>
              <w:spacing w:after="0" w:line="129" w:lineRule="exact"/>
              <w:rPr>
                <w:sz w:val="20"/>
                <w:szCs w:val="20"/>
                <w:color w:val="auto"/>
              </w:rPr>
            </w:pPr>
            <w:r>
              <w:rPr>
                <w:rFonts w:ascii="Arial" w:cs="Arial" w:eastAsia="Arial" w:hAnsi="Arial"/>
                <w:sz w:val="12"/>
                <w:szCs w:val="12"/>
                <w:color w:val="auto"/>
              </w:rPr>
              <w:t>13,392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9"/>
              <w:spacing w:after="0" w:line="129" w:lineRule="exact"/>
              <w:rPr>
                <w:sz w:val="20"/>
                <w:szCs w:val="20"/>
                <w:color w:val="auto"/>
              </w:rPr>
            </w:pPr>
            <w:r>
              <w:rPr>
                <w:rFonts w:ascii="Arial" w:cs="Arial" w:eastAsia="Arial" w:hAnsi="Arial"/>
                <w:sz w:val="12"/>
                <w:szCs w:val="12"/>
                <w:color w:val="auto"/>
              </w:rPr>
              <w:t>17,520</w:t>
            </w:r>
          </w:p>
        </w:tc>
      </w:tr>
      <w:tr>
        <w:trPr>
          <w:trHeight w:val="129"/>
        </w:trPr>
        <w:tc>
          <w:tcPr>
            <w:tcW w:w="20" w:type="dxa"/>
            <w:vAlign w:val="bottom"/>
          </w:tcPr>
          <w:p>
            <w:pPr>
              <w:spacing w:after="0"/>
              <w:rPr>
                <w:sz w:val="11"/>
                <w:szCs w:val="11"/>
                <w:color w:val="auto"/>
              </w:rPr>
            </w:pPr>
          </w:p>
        </w:tc>
        <w:tc>
          <w:tcPr>
            <w:tcW w:w="6300" w:type="dxa"/>
            <w:vAlign w:val="bottom"/>
          </w:tcPr>
          <w:p>
            <w:pPr>
              <w:ind w:left="120"/>
              <w:spacing w:after="0" w:line="129" w:lineRule="exact"/>
              <w:rPr>
                <w:sz w:val="20"/>
                <w:szCs w:val="20"/>
                <w:color w:val="auto"/>
              </w:rPr>
            </w:pPr>
            <w:r>
              <w:rPr>
                <w:rFonts w:ascii="Arial" w:cs="Arial" w:eastAsia="Arial" w:hAnsi="Arial"/>
                <w:sz w:val="12"/>
                <w:szCs w:val="12"/>
                <w:color w:val="auto"/>
              </w:rPr>
              <w:t>Lease liabilities, current</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
              <w:spacing w:after="0" w:line="129" w:lineRule="exact"/>
              <w:rPr>
                <w:sz w:val="20"/>
                <w:szCs w:val="20"/>
                <w:color w:val="auto"/>
              </w:rPr>
            </w:pPr>
            <w:r>
              <w:rPr>
                <w:rFonts w:ascii="Arial" w:cs="Arial" w:eastAsia="Arial" w:hAnsi="Arial"/>
                <w:sz w:val="12"/>
                <w:szCs w:val="12"/>
                <w:color w:val="auto"/>
              </w:rPr>
              <w:t>5,211</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9"/>
              <w:spacing w:after="0" w:line="129" w:lineRule="exact"/>
              <w:rPr>
                <w:sz w:val="20"/>
                <w:szCs w:val="20"/>
                <w:color w:val="auto"/>
              </w:rPr>
            </w:pPr>
            <w:r>
              <w:rPr>
                <w:rFonts w:ascii="Arial" w:cs="Arial" w:eastAsia="Arial" w:hAnsi="Arial"/>
                <w:sz w:val="12"/>
                <w:szCs w:val="12"/>
                <w:color w:val="auto"/>
              </w:rPr>
              <w:t>4,576</w:t>
            </w:r>
          </w:p>
        </w:tc>
      </w:tr>
      <w:tr>
        <w:trPr>
          <w:trHeight w:val="120"/>
        </w:trPr>
        <w:tc>
          <w:tcPr>
            <w:tcW w:w="20" w:type="dxa"/>
            <w:vAlign w:val="bottom"/>
          </w:tcPr>
          <w:p>
            <w:pPr>
              <w:spacing w:after="0"/>
              <w:rPr>
                <w:sz w:val="10"/>
                <w:szCs w:val="10"/>
                <w:color w:val="auto"/>
              </w:rPr>
            </w:pPr>
          </w:p>
        </w:tc>
        <w:tc>
          <w:tcPr>
            <w:tcW w:w="6300" w:type="dxa"/>
            <w:vAlign w:val="bottom"/>
            <w:shd w:val="clear" w:color="auto" w:fill="CFF0FC"/>
          </w:tcPr>
          <w:p>
            <w:pPr>
              <w:ind w:left="260"/>
              <w:spacing w:after="0" w:line="120" w:lineRule="exact"/>
              <w:rPr>
                <w:sz w:val="20"/>
                <w:szCs w:val="20"/>
                <w:color w:val="auto"/>
              </w:rPr>
            </w:pPr>
            <w:r>
              <w:rPr>
                <w:rFonts w:ascii="Arial" w:cs="Arial" w:eastAsia="Arial" w:hAnsi="Arial"/>
                <w:sz w:val="12"/>
                <w:szCs w:val="12"/>
                <w:color w:val="auto"/>
              </w:rPr>
              <w:t>Total current liabilities</w:t>
            </w: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9"/>
              <w:spacing w:after="0" w:line="120" w:lineRule="exact"/>
              <w:rPr>
                <w:sz w:val="20"/>
                <w:szCs w:val="20"/>
                <w:color w:val="auto"/>
              </w:rPr>
            </w:pPr>
            <w:r>
              <w:rPr>
                <w:rFonts w:ascii="Arial" w:cs="Arial" w:eastAsia="Arial" w:hAnsi="Arial"/>
                <w:sz w:val="12"/>
                <w:szCs w:val="12"/>
                <w:color w:val="auto"/>
              </w:rPr>
              <w:t>26,475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39"/>
              <w:spacing w:after="0" w:line="120" w:lineRule="exact"/>
              <w:rPr>
                <w:sz w:val="20"/>
                <w:szCs w:val="20"/>
                <w:color w:val="auto"/>
              </w:rPr>
            </w:pPr>
            <w:r>
              <w:rPr>
                <w:rFonts w:ascii="Arial" w:cs="Arial" w:eastAsia="Arial" w:hAnsi="Arial"/>
                <w:sz w:val="12"/>
                <w:szCs w:val="12"/>
                <w:color w:val="auto"/>
              </w:rPr>
              <w:t>28,415</w:t>
            </w:r>
          </w:p>
        </w:tc>
      </w:tr>
      <w:tr>
        <w:trPr>
          <w:trHeight w:val="129"/>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Arial" w:cs="Arial" w:eastAsia="Arial" w:hAnsi="Arial"/>
                <w:sz w:val="12"/>
                <w:szCs w:val="12"/>
                <w:color w:val="auto"/>
              </w:rPr>
              <w:t>Contingent consideration and warrant liability</w:t>
            </w:r>
          </w:p>
        </w:tc>
        <w:tc>
          <w:tcPr>
            <w:tcW w:w="80" w:type="dxa"/>
            <w:vAlign w:val="bottom"/>
          </w:tcPr>
          <w:p>
            <w:pPr>
              <w:spacing w:after="0"/>
              <w:rPr>
                <w:sz w:val="11"/>
                <w:szCs w:val="11"/>
                <w:color w:val="auto"/>
              </w:rPr>
            </w:pP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6,133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9"/>
              <w:spacing w:after="0" w:line="129" w:lineRule="exact"/>
              <w:rPr>
                <w:sz w:val="20"/>
                <w:szCs w:val="20"/>
                <w:color w:val="auto"/>
              </w:rPr>
            </w:pPr>
            <w:r>
              <w:rPr>
                <w:rFonts w:ascii="Arial" w:cs="Arial" w:eastAsia="Arial" w:hAnsi="Arial"/>
                <w:sz w:val="12"/>
                <w:szCs w:val="12"/>
                <w:color w:val="auto"/>
              </w:rPr>
              <w:t>10,224</w:t>
            </w:r>
          </w:p>
        </w:tc>
      </w:tr>
      <w:tr>
        <w:trPr>
          <w:trHeight w:val="129"/>
        </w:trPr>
        <w:tc>
          <w:tcPr>
            <w:tcW w:w="20" w:type="dxa"/>
            <w:vAlign w:val="bottom"/>
          </w:tcPr>
          <w:p>
            <w:pPr>
              <w:spacing w:after="0"/>
              <w:rPr>
                <w:sz w:val="11"/>
                <w:szCs w:val="11"/>
                <w:color w:val="auto"/>
              </w:rPr>
            </w:pPr>
          </w:p>
        </w:tc>
        <w:tc>
          <w:tcPr>
            <w:tcW w:w="630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Lease liabilities, non-current</w:t>
            </w: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9"/>
              <w:spacing w:after="0" w:line="129" w:lineRule="exact"/>
              <w:rPr>
                <w:sz w:val="20"/>
                <w:szCs w:val="20"/>
                <w:color w:val="auto"/>
              </w:rPr>
            </w:pPr>
            <w:r>
              <w:rPr>
                <w:rFonts w:ascii="Arial" w:cs="Arial" w:eastAsia="Arial" w:hAnsi="Arial"/>
                <w:sz w:val="12"/>
                <w:szCs w:val="12"/>
                <w:color w:val="auto"/>
              </w:rPr>
              <w:t>21,900</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39"/>
              <w:spacing w:after="0" w:line="129" w:lineRule="exact"/>
              <w:rPr>
                <w:sz w:val="20"/>
                <w:szCs w:val="20"/>
                <w:color w:val="auto"/>
              </w:rPr>
            </w:pPr>
            <w:r>
              <w:rPr>
                <w:rFonts w:ascii="Arial" w:cs="Arial" w:eastAsia="Arial" w:hAnsi="Arial"/>
                <w:sz w:val="12"/>
                <w:szCs w:val="12"/>
                <w:color w:val="auto"/>
              </w:rPr>
              <w:t>26,430</w:t>
            </w:r>
          </w:p>
        </w:tc>
      </w:tr>
      <w:tr>
        <w:trPr>
          <w:trHeight w:val="120"/>
        </w:trPr>
        <w:tc>
          <w:tcPr>
            <w:tcW w:w="20" w:type="dxa"/>
            <w:vAlign w:val="bottom"/>
          </w:tcPr>
          <w:p>
            <w:pPr>
              <w:spacing w:after="0"/>
              <w:rPr>
                <w:sz w:val="10"/>
                <w:szCs w:val="10"/>
                <w:color w:val="auto"/>
              </w:rPr>
            </w:pPr>
          </w:p>
        </w:tc>
        <w:tc>
          <w:tcPr>
            <w:tcW w:w="6300" w:type="dxa"/>
            <w:vAlign w:val="bottom"/>
          </w:tcPr>
          <w:p>
            <w:pPr>
              <w:ind w:left="260"/>
              <w:spacing w:after="0" w:line="120" w:lineRule="exact"/>
              <w:rPr>
                <w:sz w:val="20"/>
                <w:szCs w:val="20"/>
                <w:color w:val="auto"/>
              </w:rPr>
            </w:pPr>
            <w:r>
              <w:rPr>
                <w:rFonts w:ascii="Arial" w:cs="Arial" w:eastAsia="Arial" w:hAnsi="Arial"/>
                <w:sz w:val="12"/>
                <w:szCs w:val="12"/>
                <w:color w:val="auto"/>
              </w:rPr>
              <w:t>Total liabilities</w:t>
            </w:r>
          </w:p>
        </w:tc>
        <w:tc>
          <w:tcPr>
            <w:tcW w:w="80" w:type="dxa"/>
            <w:vAlign w:val="bottom"/>
          </w:tcPr>
          <w:p>
            <w:pPr>
              <w:spacing w:after="0"/>
              <w:rPr>
                <w:sz w:val="10"/>
                <w:szCs w:val="10"/>
                <w:color w:val="auto"/>
              </w:rPr>
            </w:pPr>
          </w:p>
        </w:tc>
        <w:tc>
          <w:tcPr>
            <w:tcW w:w="560" w:type="dxa"/>
            <w:vAlign w:val="bottom"/>
          </w:tcPr>
          <w:p>
            <w:pPr>
              <w:jc w:val="right"/>
              <w:ind w:right="19"/>
              <w:spacing w:after="0" w:line="120" w:lineRule="exact"/>
              <w:rPr>
                <w:sz w:val="20"/>
                <w:szCs w:val="20"/>
                <w:color w:val="auto"/>
              </w:rPr>
            </w:pPr>
            <w:r>
              <w:rPr>
                <w:rFonts w:ascii="Arial" w:cs="Arial" w:eastAsia="Arial" w:hAnsi="Arial"/>
                <w:sz w:val="12"/>
                <w:szCs w:val="12"/>
                <w:color w:val="auto"/>
              </w:rPr>
              <w:t>54,508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39"/>
              <w:spacing w:after="0" w:line="120" w:lineRule="exact"/>
              <w:rPr>
                <w:sz w:val="20"/>
                <w:szCs w:val="20"/>
                <w:color w:val="auto"/>
              </w:rPr>
            </w:pPr>
            <w:r>
              <w:rPr>
                <w:rFonts w:ascii="Arial" w:cs="Arial" w:eastAsia="Arial" w:hAnsi="Arial"/>
                <w:sz w:val="12"/>
                <w:szCs w:val="12"/>
                <w:color w:val="auto"/>
              </w:rPr>
              <w:t>65,069</w:t>
            </w: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Commitments and contingencies (see Note 14)</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14"/>
        </w:trPr>
        <w:tc>
          <w:tcPr>
            <w:tcW w:w="20" w:type="dxa"/>
            <w:vAlign w:val="bottom"/>
          </w:tcPr>
          <w:p>
            <w:pPr>
              <w:spacing w:after="0"/>
              <w:rPr>
                <w:sz w:val="9"/>
                <w:szCs w:val="9"/>
                <w:color w:val="auto"/>
              </w:rPr>
            </w:pPr>
          </w:p>
        </w:tc>
        <w:tc>
          <w:tcPr>
            <w:tcW w:w="6300" w:type="dxa"/>
            <w:vAlign w:val="bottom"/>
          </w:tcPr>
          <w:p>
            <w:pPr>
              <w:spacing w:after="0" w:line="114" w:lineRule="exact"/>
              <w:rPr>
                <w:sz w:val="20"/>
                <w:szCs w:val="20"/>
                <w:color w:val="auto"/>
              </w:rPr>
            </w:pPr>
            <w:r>
              <w:rPr>
                <w:rFonts w:ascii="Arial" w:cs="Arial" w:eastAsia="Arial" w:hAnsi="Arial"/>
                <w:sz w:val="12"/>
                <w:szCs w:val="12"/>
                <w:color w:val="auto"/>
              </w:rPr>
              <w:t>Series A convertible preferred stock, net of issuance costs, $0.0001 par value: 43,749,045 and 45,430,930 shares</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9"/>
        </w:trPr>
        <w:tc>
          <w:tcPr>
            <w:tcW w:w="6320" w:type="dxa"/>
            <w:vAlign w:val="bottom"/>
            <w:gridSpan w:val="2"/>
          </w:tcPr>
          <w:p>
            <w:pPr>
              <w:spacing w:after="0" w:line="129" w:lineRule="exact"/>
              <w:rPr>
                <w:sz w:val="20"/>
                <w:szCs w:val="20"/>
                <w:color w:val="auto"/>
              </w:rPr>
            </w:pPr>
            <w:r>
              <w:rPr>
                <w:rFonts w:ascii="Arial" w:cs="Arial" w:eastAsia="Arial" w:hAnsi="Arial"/>
                <w:sz w:val="12"/>
                <w:szCs w:val="12"/>
                <w:color w:val="auto"/>
              </w:rPr>
              <w:t>authorized as of December 31, 2025 and December 31, 2024, respectively; and 43,732,797 and 45,414,682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29"/>
        </w:trPr>
        <w:tc>
          <w:tcPr>
            <w:tcW w:w="6320" w:type="dxa"/>
            <w:vAlign w:val="bottom"/>
            <w:gridSpan w:val="2"/>
          </w:tcPr>
          <w:p>
            <w:pPr>
              <w:spacing w:after="0" w:line="129" w:lineRule="exact"/>
              <w:rPr>
                <w:sz w:val="20"/>
                <w:szCs w:val="20"/>
                <w:color w:val="auto"/>
              </w:rPr>
            </w:pPr>
            <w:r>
              <w:rPr>
                <w:rFonts w:ascii="Arial" w:cs="Arial" w:eastAsia="Arial" w:hAnsi="Arial"/>
                <w:sz w:val="12"/>
                <w:szCs w:val="12"/>
                <w:color w:val="auto"/>
              </w:rPr>
              <w:t>shares issued and outstanding as of December 31, 2025 and December 31, 2024, respectively, (liquidation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4"/>
        </w:trPr>
        <w:tc>
          <w:tcPr>
            <w:tcW w:w="6320" w:type="dxa"/>
            <w:vAlign w:val="bottom"/>
            <w:gridSpan w:val="2"/>
          </w:tcPr>
          <w:p>
            <w:pPr>
              <w:spacing w:after="0"/>
              <w:rPr>
                <w:sz w:val="20"/>
                <w:szCs w:val="20"/>
                <w:color w:val="auto"/>
              </w:rPr>
            </w:pPr>
            <w:r>
              <w:rPr>
                <w:rFonts w:ascii="Arial" w:cs="Arial" w:eastAsia="Arial" w:hAnsi="Arial"/>
                <w:sz w:val="12"/>
                <w:szCs w:val="12"/>
                <w:color w:val="auto"/>
              </w:rPr>
              <w:t>preference $84,796 and $224,193 as of December 31, 2025 and December 31, 2024, respectively)</w:t>
            </w:r>
          </w:p>
        </w:tc>
        <w:tc>
          <w:tcPr>
            <w:tcW w:w="80" w:type="dxa"/>
            <w:vAlign w:val="bottom"/>
          </w:tcPr>
          <w:p>
            <w:pPr>
              <w:spacing w:after="0"/>
              <w:rPr>
                <w:sz w:val="12"/>
                <w:szCs w:val="12"/>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216,503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223,869</w:t>
            </w:r>
          </w:p>
        </w:tc>
      </w:tr>
      <w:tr>
        <w:trPr>
          <w:trHeight w:val="114"/>
        </w:trPr>
        <w:tc>
          <w:tcPr>
            <w:tcW w:w="20" w:type="dxa"/>
            <w:vAlign w:val="bottom"/>
          </w:tcPr>
          <w:p>
            <w:pPr>
              <w:spacing w:after="0"/>
              <w:rPr>
                <w:sz w:val="9"/>
                <w:szCs w:val="9"/>
                <w:color w:val="auto"/>
              </w:rPr>
            </w:pPr>
          </w:p>
        </w:tc>
        <w:tc>
          <w:tcPr>
            <w:tcW w:w="6300" w:type="dxa"/>
            <w:vAlign w:val="bottom"/>
            <w:shd w:val="clear" w:color="auto" w:fill="CFF0FC"/>
          </w:tcPr>
          <w:p>
            <w:pPr>
              <w:spacing w:after="0" w:line="114" w:lineRule="exact"/>
              <w:rPr>
                <w:sz w:val="20"/>
                <w:szCs w:val="20"/>
                <w:color w:val="auto"/>
              </w:rPr>
            </w:pPr>
            <w:r>
              <w:rPr>
                <w:rFonts w:ascii="Arial" w:cs="Arial" w:eastAsia="Arial" w:hAnsi="Arial"/>
                <w:sz w:val="12"/>
                <w:szCs w:val="12"/>
                <w:color w:val="auto"/>
              </w:rPr>
              <w:t>Series B convertible preferred stock, net of issuance costs, $0.0001 par value: 26,601,360 shares authorized as of</w:t>
            </w: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December 31, 2025 and December 31, 2024; and 26,601,360 shares issued and outstanding as of December 31,</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2025 and December 31, 2024 (liquidation preference $66,100 and $168,010 as of December 31, 2025 and</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December 31, 2024, respectively)</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167,765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2"/>
                <w:szCs w:val="12"/>
                <w:color w:val="auto"/>
              </w:rPr>
              <w:t>167,765</w:t>
            </w:r>
          </w:p>
        </w:tc>
      </w:tr>
      <w:tr>
        <w:trPr>
          <w:trHeight w:val="114"/>
        </w:trPr>
        <w:tc>
          <w:tcPr>
            <w:tcW w:w="20" w:type="dxa"/>
            <w:vAlign w:val="bottom"/>
          </w:tcPr>
          <w:p>
            <w:pPr>
              <w:spacing w:after="0"/>
              <w:rPr>
                <w:sz w:val="9"/>
                <w:szCs w:val="9"/>
                <w:color w:val="auto"/>
              </w:rPr>
            </w:pPr>
          </w:p>
        </w:tc>
        <w:tc>
          <w:tcPr>
            <w:tcW w:w="6300" w:type="dxa"/>
            <w:vAlign w:val="bottom"/>
          </w:tcPr>
          <w:p>
            <w:pPr>
              <w:spacing w:after="0" w:line="114" w:lineRule="exact"/>
              <w:rPr>
                <w:sz w:val="20"/>
                <w:szCs w:val="20"/>
                <w:color w:val="auto"/>
              </w:rPr>
            </w:pPr>
            <w:r>
              <w:rPr>
                <w:rFonts w:ascii="Arial" w:cs="Arial" w:eastAsia="Arial" w:hAnsi="Arial"/>
                <w:sz w:val="12"/>
                <w:szCs w:val="12"/>
                <w:color w:val="auto"/>
              </w:rPr>
              <w:t>Series C convertible preferred stock, net of issuance costs, $0.0001 par value: 24,901,598 and 28,307,327 shares</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9"/>
        </w:trPr>
        <w:tc>
          <w:tcPr>
            <w:tcW w:w="6320" w:type="dxa"/>
            <w:vAlign w:val="bottom"/>
            <w:gridSpan w:val="2"/>
          </w:tcPr>
          <w:p>
            <w:pPr>
              <w:spacing w:after="0" w:line="129" w:lineRule="exact"/>
              <w:rPr>
                <w:sz w:val="20"/>
                <w:szCs w:val="20"/>
                <w:color w:val="auto"/>
              </w:rPr>
            </w:pPr>
            <w:r>
              <w:rPr>
                <w:rFonts w:ascii="Arial" w:cs="Arial" w:eastAsia="Arial" w:hAnsi="Arial"/>
                <w:sz w:val="12"/>
                <w:szCs w:val="12"/>
                <w:color w:val="auto"/>
              </w:rPr>
              <w:t>authorized as of December 31, 2025 and December 31, 2024, respectively; and 24,901,598 shares issued and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29"/>
        </w:trPr>
        <w:tc>
          <w:tcPr>
            <w:tcW w:w="6320" w:type="dxa"/>
            <w:vAlign w:val="bottom"/>
            <w:gridSpan w:val="2"/>
          </w:tcPr>
          <w:p>
            <w:pPr>
              <w:spacing w:after="0" w:line="129" w:lineRule="exact"/>
              <w:rPr>
                <w:sz w:val="20"/>
                <w:szCs w:val="20"/>
                <w:color w:val="auto"/>
              </w:rPr>
            </w:pPr>
            <w:r>
              <w:rPr>
                <w:rFonts w:ascii="Arial" w:cs="Arial" w:eastAsia="Arial" w:hAnsi="Arial"/>
                <w:sz w:val="12"/>
                <w:szCs w:val="12"/>
                <w:color w:val="auto"/>
              </w:rPr>
              <w:t>outstanding as of December 31, 2025 and December 31, 2024 (liquidation preference $49,065 and $124,710 as 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4"/>
        </w:trPr>
        <w:tc>
          <w:tcPr>
            <w:tcW w:w="6320" w:type="dxa"/>
            <w:vAlign w:val="bottom"/>
            <w:gridSpan w:val="2"/>
          </w:tcPr>
          <w:p>
            <w:pPr>
              <w:spacing w:after="0"/>
              <w:rPr>
                <w:sz w:val="20"/>
                <w:szCs w:val="20"/>
                <w:color w:val="auto"/>
              </w:rPr>
            </w:pPr>
            <w:r>
              <w:rPr>
                <w:rFonts w:ascii="Arial" w:cs="Arial" w:eastAsia="Arial" w:hAnsi="Arial"/>
                <w:sz w:val="12"/>
                <w:szCs w:val="12"/>
                <w:color w:val="auto"/>
              </w:rPr>
              <w:t>December 31, 2025 and December 31, 2024, respectively)</w:t>
            </w:r>
          </w:p>
        </w:tc>
        <w:tc>
          <w:tcPr>
            <w:tcW w:w="80" w:type="dxa"/>
            <w:vAlign w:val="bottom"/>
          </w:tcPr>
          <w:p>
            <w:pPr>
              <w:spacing w:after="0"/>
              <w:rPr>
                <w:sz w:val="12"/>
                <w:szCs w:val="12"/>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123,259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123,259</w:t>
            </w:r>
          </w:p>
        </w:tc>
      </w:tr>
      <w:tr>
        <w:trPr>
          <w:trHeight w:val="114"/>
        </w:trPr>
        <w:tc>
          <w:tcPr>
            <w:tcW w:w="20" w:type="dxa"/>
            <w:vAlign w:val="bottom"/>
          </w:tcPr>
          <w:p>
            <w:pPr>
              <w:spacing w:after="0"/>
              <w:rPr>
                <w:sz w:val="9"/>
                <w:szCs w:val="9"/>
                <w:color w:val="auto"/>
              </w:rPr>
            </w:pPr>
          </w:p>
        </w:tc>
        <w:tc>
          <w:tcPr>
            <w:tcW w:w="6300" w:type="dxa"/>
            <w:vAlign w:val="bottom"/>
            <w:shd w:val="clear" w:color="auto" w:fill="CFF0FC"/>
          </w:tcPr>
          <w:p>
            <w:pPr>
              <w:spacing w:after="0" w:line="114" w:lineRule="exact"/>
              <w:rPr>
                <w:sz w:val="20"/>
                <w:szCs w:val="20"/>
                <w:color w:val="auto"/>
              </w:rPr>
            </w:pPr>
            <w:r>
              <w:rPr>
                <w:rFonts w:ascii="Arial" w:cs="Arial" w:eastAsia="Arial" w:hAnsi="Arial"/>
                <w:sz w:val="12"/>
                <w:szCs w:val="12"/>
                <w:color w:val="auto"/>
              </w:rPr>
              <w:t>Series D convertible preferred stock, net of issuance costs, $0.0001 par value: 142,016,823 and no shares</w:t>
            </w: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authorized as of December 31, 2025 and December 31, 2024, respectively; and 141,950,377 and no shares issued</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and outstanding as of December 31, 2025 and December 31, 2024, respectively (liquidation preference $213,631</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and $0 as of December 31, 2025 and December 31, 2024, respectively)</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196,031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2"/>
                <w:szCs w:val="12"/>
                <w:color w:val="auto"/>
              </w:rPr>
              <w:t>-</w:t>
            </w:r>
          </w:p>
        </w:tc>
      </w:tr>
      <w:tr>
        <w:trPr>
          <w:trHeight w:val="129"/>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Arial" w:cs="Arial" w:eastAsia="Arial" w:hAnsi="Arial"/>
                <w:sz w:val="12"/>
                <w:szCs w:val="12"/>
                <w:color w:val="auto"/>
              </w:rPr>
              <w:t>Stockholders’ deficit: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14"/>
        </w:trPr>
        <w:tc>
          <w:tcPr>
            <w:tcW w:w="20" w:type="dxa"/>
            <w:vAlign w:val="bottom"/>
          </w:tcPr>
          <w:p>
            <w:pPr>
              <w:spacing w:after="0"/>
              <w:rPr>
                <w:sz w:val="9"/>
                <w:szCs w:val="9"/>
                <w:color w:val="auto"/>
              </w:rPr>
            </w:pPr>
          </w:p>
        </w:tc>
        <w:tc>
          <w:tcPr>
            <w:tcW w:w="6300" w:type="dxa"/>
            <w:vAlign w:val="bottom"/>
            <w:shd w:val="clear" w:color="auto" w:fill="CFF0FC"/>
          </w:tcPr>
          <w:p>
            <w:pPr>
              <w:ind w:left="120"/>
              <w:spacing w:after="0" w:line="114" w:lineRule="exact"/>
              <w:rPr>
                <w:sz w:val="20"/>
                <w:szCs w:val="20"/>
                <w:color w:val="auto"/>
              </w:rPr>
            </w:pPr>
            <w:r>
              <w:rPr>
                <w:rFonts w:ascii="Arial" w:cs="Arial" w:eastAsia="Arial" w:hAnsi="Arial"/>
                <w:sz w:val="12"/>
                <w:szCs w:val="12"/>
                <w:color w:val="auto"/>
              </w:rPr>
              <w:t>Common stock, $0.0001 par value: 365,081,240 shares and 143,196,098 shares authorized as of December 31,</w:t>
            </w: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ind w:left="120"/>
              <w:spacing w:after="0" w:line="129" w:lineRule="exact"/>
              <w:rPr>
                <w:sz w:val="20"/>
                <w:szCs w:val="20"/>
                <w:color w:val="auto"/>
              </w:rPr>
            </w:pPr>
            <w:r>
              <w:rPr>
                <w:rFonts w:ascii="Arial" w:cs="Arial" w:eastAsia="Arial" w:hAnsi="Arial"/>
                <w:sz w:val="12"/>
                <w:szCs w:val="12"/>
                <w:color w:val="auto"/>
              </w:rPr>
              <w:t>2025 and December 31, 2024, respectively; 23,320,328 shares and 8,611,967 shares issued as of December</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ind w:left="120"/>
              <w:spacing w:after="0" w:line="129" w:lineRule="exact"/>
              <w:rPr>
                <w:sz w:val="20"/>
                <w:szCs w:val="20"/>
                <w:color w:val="auto"/>
              </w:rPr>
            </w:pPr>
            <w:r>
              <w:rPr>
                <w:rFonts w:ascii="Arial" w:cs="Arial" w:eastAsia="Arial" w:hAnsi="Arial"/>
                <w:sz w:val="12"/>
                <w:szCs w:val="12"/>
                <w:color w:val="auto"/>
              </w:rPr>
              <w:t>31, 2025 and December 31, 2024, respectively; 21,701,952 shares and 8,611,967 shares outstanding as of</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3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December 31, 2025 and December 31, 2024, respectively</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2"/>
                <w:szCs w:val="12"/>
                <w:color w:val="auto"/>
              </w:rPr>
              <w:t>1</w:t>
            </w:r>
          </w:p>
        </w:tc>
      </w:tr>
      <w:tr>
        <w:trPr>
          <w:trHeight w:val="129"/>
        </w:trPr>
        <w:tc>
          <w:tcPr>
            <w:tcW w:w="20" w:type="dxa"/>
            <w:vAlign w:val="bottom"/>
          </w:tcPr>
          <w:p>
            <w:pPr>
              <w:spacing w:after="0"/>
              <w:rPr>
                <w:sz w:val="11"/>
                <w:szCs w:val="11"/>
                <w:color w:val="auto"/>
              </w:rPr>
            </w:pPr>
          </w:p>
        </w:tc>
        <w:tc>
          <w:tcPr>
            <w:tcW w:w="6300" w:type="dxa"/>
            <w:vAlign w:val="bottom"/>
          </w:tcPr>
          <w:p>
            <w:pPr>
              <w:ind w:left="120"/>
              <w:spacing w:after="0" w:line="129" w:lineRule="exact"/>
              <w:rPr>
                <w:sz w:val="20"/>
                <w:szCs w:val="20"/>
                <w:color w:val="auto"/>
              </w:rPr>
            </w:pPr>
            <w:r>
              <w:rPr>
                <w:rFonts w:ascii="Arial" w:cs="Arial" w:eastAsia="Arial" w:hAnsi="Arial"/>
                <w:sz w:val="12"/>
                <w:szCs w:val="12"/>
                <w:color w:val="auto"/>
              </w:rPr>
              <w:t>Additional paid-in capital</w:t>
            </w:r>
          </w:p>
        </w:tc>
        <w:tc>
          <w:tcPr>
            <w:tcW w:w="80" w:type="dxa"/>
            <w:vAlign w:val="bottom"/>
          </w:tcPr>
          <w:p>
            <w:pPr>
              <w:spacing w:after="0"/>
              <w:rPr>
                <w:sz w:val="11"/>
                <w:szCs w:val="11"/>
                <w:color w:val="auto"/>
              </w:rPr>
            </w:pP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79,614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9"/>
              <w:spacing w:after="0" w:line="129" w:lineRule="exact"/>
              <w:rPr>
                <w:sz w:val="20"/>
                <w:szCs w:val="20"/>
                <w:color w:val="auto"/>
              </w:rPr>
            </w:pPr>
            <w:r>
              <w:rPr>
                <w:rFonts w:ascii="Arial" w:cs="Arial" w:eastAsia="Arial" w:hAnsi="Arial"/>
                <w:sz w:val="12"/>
                <w:szCs w:val="12"/>
                <w:color w:val="auto"/>
              </w:rPr>
              <w:t>38,305</w:t>
            </w:r>
          </w:p>
        </w:tc>
      </w:tr>
      <w:tr>
        <w:trPr>
          <w:trHeight w:val="129"/>
        </w:trPr>
        <w:tc>
          <w:tcPr>
            <w:tcW w:w="20" w:type="dxa"/>
            <w:vAlign w:val="bottom"/>
          </w:tcPr>
          <w:p>
            <w:pPr>
              <w:spacing w:after="0"/>
              <w:rPr>
                <w:sz w:val="11"/>
                <w:szCs w:val="11"/>
                <w:color w:val="auto"/>
              </w:rPr>
            </w:pPr>
          </w:p>
        </w:tc>
        <w:tc>
          <w:tcPr>
            <w:tcW w:w="6300" w:type="dxa"/>
            <w:vAlign w:val="bottom"/>
            <w:shd w:val="clear" w:color="auto" w:fill="CFF0FC"/>
          </w:tcPr>
          <w:p>
            <w:pPr>
              <w:ind w:left="120"/>
              <w:spacing w:after="0" w:line="129" w:lineRule="exact"/>
              <w:rPr>
                <w:sz w:val="20"/>
                <w:szCs w:val="20"/>
                <w:color w:val="auto"/>
              </w:rPr>
            </w:pPr>
            <w:r>
              <w:rPr>
                <w:rFonts w:ascii="Arial" w:cs="Arial" w:eastAsia="Arial" w:hAnsi="Arial"/>
                <w:sz w:val="12"/>
                <w:szCs w:val="12"/>
                <w:color w:val="auto"/>
              </w:rPr>
              <w:t>Accumulated deficit</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(568,139)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(419,492)</w:t>
            </w:r>
          </w:p>
        </w:tc>
      </w:tr>
      <w:tr>
        <w:trPr>
          <w:trHeight w:val="129"/>
        </w:trPr>
        <w:tc>
          <w:tcPr>
            <w:tcW w:w="20" w:type="dxa"/>
            <w:vAlign w:val="bottom"/>
          </w:tcPr>
          <w:p>
            <w:pPr>
              <w:spacing w:after="0"/>
              <w:rPr>
                <w:sz w:val="11"/>
                <w:szCs w:val="11"/>
                <w:color w:val="auto"/>
              </w:rPr>
            </w:pPr>
          </w:p>
        </w:tc>
        <w:tc>
          <w:tcPr>
            <w:tcW w:w="6300" w:type="dxa"/>
            <w:vAlign w:val="bottom"/>
          </w:tcPr>
          <w:p>
            <w:pPr>
              <w:ind w:left="120"/>
              <w:spacing w:after="0" w:line="129" w:lineRule="exact"/>
              <w:rPr>
                <w:sz w:val="20"/>
                <w:szCs w:val="20"/>
                <w:color w:val="auto"/>
              </w:rPr>
            </w:pPr>
            <w:r>
              <w:rPr>
                <w:rFonts w:ascii="Arial" w:cs="Arial" w:eastAsia="Arial" w:hAnsi="Arial"/>
                <w:sz w:val="12"/>
                <w:szCs w:val="12"/>
                <w:color w:val="auto"/>
              </w:rPr>
              <w:t>Accumulated other comprehensive income (loss)</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
              <w:spacing w:after="0" w:line="129" w:lineRule="exact"/>
              <w:rPr>
                <w:sz w:val="20"/>
                <w:szCs w:val="20"/>
                <w:color w:val="auto"/>
              </w:rPr>
            </w:pPr>
            <w:r>
              <w:rPr>
                <w:rFonts w:ascii="Arial" w:cs="Arial" w:eastAsia="Arial" w:hAnsi="Arial"/>
                <w:sz w:val="12"/>
                <w:szCs w:val="12"/>
                <w:color w:val="auto"/>
              </w:rPr>
              <w:t>245</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(1,341)</w:t>
            </w:r>
          </w:p>
        </w:tc>
      </w:tr>
      <w:tr>
        <w:trPr>
          <w:trHeight w:val="120"/>
        </w:trPr>
        <w:tc>
          <w:tcPr>
            <w:tcW w:w="20" w:type="dxa"/>
            <w:vAlign w:val="bottom"/>
          </w:tcPr>
          <w:p>
            <w:pPr>
              <w:spacing w:after="0"/>
              <w:rPr>
                <w:sz w:val="10"/>
                <w:szCs w:val="10"/>
                <w:color w:val="auto"/>
              </w:rPr>
            </w:pPr>
          </w:p>
        </w:tc>
        <w:tc>
          <w:tcPr>
            <w:tcW w:w="6300" w:type="dxa"/>
            <w:vAlign w:val="bottom"/>
            <w:tcBorders>
              <w:bottom w:val="single" w:sz="8" w:color="CFF0FC"/>
            </w:tcBorders>
            <w:shd w:val="clear" w:color="auto" w:fill="CFF0FC"/>
          </w:tcPr>
          <w:p>
            <w:pPr>
              <w:ind w:left="260"/>
              <w:spacing w:after="0" w:line="120" w:lineRule="exact"/>
              <w:rPr>
                <w:sz w:val="20"/>
                <w:szCs w:val="20"/>
                <w:color w:val="auto"/>
              </w:rPr>
            </w:pPr>
            <w:r>
              <w:rPr>
                <w:rFonts w:ascii="Arial" w:cs="Arial" w:eastAsia="Arial" w:hAnsi="Arial"/>
                <w:sz w:val="12"/>
                <w:szCs w:val="12"/>
                <w:color w:val="auto"/>
              </w:rPr>
              <w:t>Total stockholders’ deficit</w:t>
            </w:r>
          </w:p>
        </w:tc>
        <w:tc>
          <w:tcPr>
            <w:tcW w:w="8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20" w:lineRule="exact"/>
              <w:rPr>
                <w:sz w:val="20"/>
                <w:szCs w:val="20"/>
                <w:color w:val="auto"/>
              </w:rPr>
            </w:pPr>
            <w:r>
              <w:rPr>
                <w:rFonts w:ascii="Arial" w:cs="Arial" w:eastAsia="Arial" w:hAnsi="Arial"/>
                <w:sz w:val="12"/>
                <w:szCs w:val="12"/>
                <w:color w:val="auto"/>
              </w:rPr>
              <w:t>(488,278)</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20" w:lineRule="exact"/>
              <w:rPr>
                <w:sz w:val="20"/>
                <w:szCs w:val="20"/>
                <w:color w:val="auto"/>
              </w:rPr>
            </w:pPr>
            <w:r>
              <w:rPr>
                <w:rFonts w:ascii="Arial" w:cs="Arial" w:eastAsia="Arial" w:hAnsi="Arial"/>
                <w:sz w:val="12"/>
                <w:szCs w:val="12"/>
                <w:color w:val="auto"/>
              </w:rPr>
              <w:t>(382,527)</w:t>
            </w:r>
          </w:p>
        </w:tc>
      </w:tr>
      <w:tr>
        <w:trPr>
          <w:trHeight w:val="120"/>
        </w:trPr>
        <w:tc>
          <w:tcPr>
            <w:tcW w:w="20" w:type="dxa"/>
            <w:vAlign w:val="bottom"/>
          </w:tcPr>
          <w:p>
            <w:pPr>
              <w:spacing w:after="0"/>
              <w:rPr>
                <w:sz w:val="10"/>
                <w:szCs w:val="10"/>
                <w:color w:val="auto"/>
              </w:rPr>
            </w:pPr>
          </w:p>
        </w:tc>
        <w:tc>
          <w:tcPr>
            <w:tcW w:w="6300" w:type="dxa"/>
            <w:vAlign w:val="bottom"/>
          </w:tcPr>
          <w:p>
            <w:pPr>
              <w:ind w:left="260"/>
              <w:spacing w:after="0" w:line="120" w:lineRule="exact"/>
              <w:rPr>
                <w:sz w:val="20"/>
                <w:szCs w:val="20"/>
                <w:color w:val="auto"/>
              </w:rPr>
            </w:pPr>
            <w:r>
              <w:rPr>
                <w:rFonts w:ascii="Arial" w:cs="Arial" w:eastAsia="Arial" w:hAnsi="Arial"/>
                <w:sz w:val="12"/>
                <w:szCs w:val="12"/>
                <w:color w:val="auto"/>
              </w:rPr>
              <w:t>Total liabilities, convertible preferred stock, and stockholders’ deficit</w:t>
            </w:r>
          </w:p>
        </w:tc>
        <w:tc>
          <w:tcPr>
            <w:tcW w:w="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19"/>
              <w:spacing w:after="0" w:line="109" w:lineRule="exact"/>
              <w:rPr>
                <w:sz w:val="20"/>
                <w:szCs w:val="20"/>
                <w:color w:val="auto"/>
              </w:rPr>
            </w:pPr>
            <w:r>
              <w:rPr>
                <w:rFonts w:ascii="Arial" w:cs="Arial" w:eastAsia="Arial" w:hAnsi="Arial"/>
                <w:sz w:val="12"/>
                <w:szCs w:val="12"/>
                <w:color w:val="auto"/>
              </w:rPr>
              <w:t>269,788</w:t>
            </w:r>
          </w:p>
        </w:tc>
        <w:tc>
          <w:tcPr>
            <w:tcW w:w="120" w:type="dxa"/>
            <w:vAlign w:val="bottom"/>
          </w:tcPr>
          <w:p>
            <w:pPr>
              <w:spacing w:after="0"/>
              <w:rPr>
                <w:sz w:val="10"/>
                <w:szCs w:val="10"/>
                <w:color w:val="auto"/>
              </w:rPr>
            </w:pPr>
          </w:p>
        </w:tc>
        <w:tc>
          <w:tcPr>
            <w:tcW w:w="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39"/>
              <w:spacing w:after="0" w:line="109" w:lineRule="exact"/>
              <w:rPr>
                <w:sz w:val="20"/>
                <w:szCs w:val="20"/>
                <w:color w:val="auto"/>
              </w:rPr>
            </w:pPr>
            <w:r>
              <w:rPr>
                <w:rFonts w:ascii="Arial" w:cs="Arial" w:eastAsia="Arial" w:hAnsi="Arial"/>
                <w:sz w:val="12"/>
                <w:szCs w:val="12"/>
                <w:color w:val="auto"/>
              </w:rPr>
              <w:t>197,435</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-3681730</wp:posOffset>
            </wp:positionV>
            <wp:extent cx="6794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-3013710</wp:posOffset>
            </wp:positionV>
            <wp:extent cx="6794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-2999740</wp:posOffset>
            </wp:positionV>
            <wp:extent cx="6794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-2331720</wp:posOffset>
            </wp:positionV>
            <wp:extent cx="6794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-108585</wp:posOffset>
            </wp:positionV>
            <wp:extent cx="6794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audited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5" w:name="page236"/>
    <w:bookmarkEnd w:id="235"/>
    <w:tbl>
      <w:tblPr>
        <w:tblLayout w:type="fixed"/>
        <w:tblInd w:w="640" w:type="dxa"/>
        <w:tblCellMar>
          <w:top w:w="0" w:type="dxa"/>
          <w:left w:w="0" w:type="dxa"/>
          <w:bottom w:w="0" w:type="dxa"/>
          <w:right w:w="0" w:type="dxa"/>
        </w:tblCellMar>
      </w:tblPr>
      <w:tr>
        <w:trPr>
          <w:trHeight w:val="161"/>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867"/>
        </w:trPr>
        <w:tc>
          <w:tcPr>
            <w:tcW w:w="2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3960" w:type="dxa"/>
            <w:vAlign w:val="bottom"/>
          </w:tcPr>
          <w:p>
            <w:pPr>
              <w:jc w:val="center"/>
              <w:ind w:left="1548"/>
              <w:spacing w:after="0"/>
              <w:rPr>
                <w:sz w:val="20"/>
                <w:szCs w:val="20"/>
                <w:color w:val="auto"/>
              </w:rPr>
            </w:pPr>
            <w:r>
              <w:rPr>
                <w:rFonts w:ascii="Arial" w:cs="Arial" w:eastAsia="Arial" w:hAnsi="Arial"/>
                <w:sz w:val="14"/>
                <w:szCs w:val="14"/>
                <w:b w:val="1"/>
                <w:bCs w:val="1"/>
                <w:color w:val="auto"/>
              </w:rPr>
              <w:t>Odyssey Therapeutics, Inc.</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34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60" w:type="dxa"/>
            <w:vAlign w:val="bottom"/>
            <w:gridSpan w:val="3"/>
          </w:tcPr>
          <w:p>
            <w:pPr>
              <w:jc w:val="center"/>
              <w:ind w:left="1048"/>
              <w:spacing w:after="0"/>
              <w:rPr>
                <w:sz w:val="20"/>
                <w:szCs w:val="20"/>
                <w:color w:val="auto"/>
              </w:rPr>
            </w:pPr>
            <w:r>
              <w:rPr>
                <w:rFonts w:ascii="Arial" w:cs="Arial" w:eastAsia="Arial" w:hAnsi="Arial"/>
                <w:sz w:val="14"/>
                <w:szCs w:val="14"/>
                <w:b w:val="1"/>
                <w:bCs w:val="1"/>
                <w:color w:val="auto"/>
              </w:rPr>
              <w:t>(in thousands, except share and per share data)</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5"/>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r>
      <w:tr>
        <w:trPr>
          <w:trHeight w:val="152"/>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8"/>
              <w:spacing w:after="0" w:line="152"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8"/>
              <w:spacing w:after="0" w:line="152" w:lineRule="exact"/>
              <w:rPr>
                <w:sz w:val="20"/>
                <w:szCs w:val="20"/>
                <w:color w:val="auto"/>
              </w:rPr>
            </w:pPr>
            <w:r>
              <w:rPr>
                <w:rFonts w:ascii="Arial" w:cs="Arial" w:eastAsia="Arial" w:hAnsi="Arial"/>
                <w:sz w:val="14"/>
                <w:szCs w:val="14"/>
                <w:b w:val="1"/>
                <w:bCs w:val="1"/>
                <w:color w:val="auto"/>
              </w:rPr>
              <w:t>2024</w:t>
            </w:r>
          </w:p>
        </w:tc>
      </w:tr>
      <w:tr>
        <w:trPr>
          <w:trHeight w:val="152"/>
        </w:trPr>
        <w:tc>
          <w:tcPr>
            <w:tcW w:w="20" w:type="dxa"/>
            <w:vAlign w:val="bottom"/>
          </w:tcPr>
          <w:p>
            <w:pPr>
              <w:spacing w:after="0"/>
              <w:rPr>
                <w:sz w:val="13"/>
                <w:szCs w:val="13"/>
                <w:color w:val="auto"/>
              </w:rPr>
            </w:pPr>
          </w:p>
        </w:tc>
        <w:tc>
          <w:tcPr>
            <w:tcW w:w="502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Collaboration revenue</w:t>
            </w:r>
          </w:p>
        </w:tc>
        <w:tc>
          <w:tcPr>
            <w:tcW w:w="500" w:type="dxa"/>
            <w:vAlign w:val="bottom"/>
            <w:gridSpan w:val="2"/>
            <w:shd w:val="clear" w:color="auto" w:fill="CFF0FC"/>
          </w:tcPr>
          <w:p>
            <w:pPr>
              <w:jc w:val="right"/>
              <w:ind w:right="180"/>
              <w:spacing w:after="0" w:line="152"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2,976</w:t>
            </w:r>
          </w:p>
        </w:tc>
        <w:tc>
          <w:tcPr>
            <w:tcW w:w="360" w:type="dxa"/>
            <w:vAlign w:val="bottom"/>
            <w:gridSpan w:val="2"/>
            <w:shd w:val="clear" w:color="auto" w:fill="CFF0FC"/>
          </w:tcPr>
          <w:p>
            <w:pPr>
              <w:jc w:val="right"/>
              <w:ind w:right="88"/>
              <w:spacing w:after="0" w:line="152"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4,472</w:t>
            </w:r>
          </w:p>
        </w:tc>
      </w:tr>
      <w:tr>
        <w:trPr>
          <w:trHeight w:val="161"/>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126,616</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112,579</w:t>
            </w:r>
          </w:p>
        </w:tc>
      </w:tr>
      <w:tr>
        <w:trPr>
          <w:trHeight w:val="161"/>
        </w:trPr>
        <w:tc>
          <w:tcPr>
            <w:tcW w:w="20" w:type="dxa"/>
            <w:vAlign w:val="bottom"/>
          </w:tcPr>
          <w:p>
            <w:pPr>
              <w:spacing w:after="0"/>
              <w:rPr>
                <w:sz w:val="14"/>
                <w:szCs w:val="14"/>
                <w:color w:val="auto"/>
              </w:rPr>
            </w:pPr>
          </w:p>
        </w:tc>
        <w:tc>
          <w:tcPr>
            <w:tcW w:w="502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37,516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27,116</w:t>
            </w:r>
          </w:p>
        </w:tc>
      </w:tr>
      <w:tr>
        <w:trPr>
          <w:trHeight w:val="161"/>
        </w:trPr>
        <w:tc>
          <w:tcPr>
            <w:tcW w:w="20" w:type="dxa"/>
            <w:vAlign w:val="bottom"/>
          </w:tcPr>
          <w:p>
            <w:pPr>
              <w:spacing w:after="0"/>
              <w:rPr>
                <w:sz w:val="14"/>
                <w:szCs w:val="14"/>
                <w:color w:val="auto"/>
              </w:rPr>
            </w:pPr>
          </w:p>
        </w:tc>
        <w:tc>
          <w:tcPr>
            <w:tcW w:w="50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Change in fair value of contingent consideration</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(4,047)</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1,798</w:t>
            </w:r>
          </w:p>
        </w:tc>
      </w:tr>
      <w:tr>
        <w:trPr>
          <w:trHeight w:val="152"/>
        </w:trPr>
        <w:tc>
          <w:tcPr>
            <w:tcW w:w="20" w:type="dxa"/>
            <w:vAlign w:val="bottom"/>
          </w:tcPr>
          <w:p>
            <w:pPr>
              <w:spacing w:after="0"/>
              <w:rPr>
                <w:sz w:val="13"/>
                <w:szCs w:val="13"/>
                <w:color w:val="auto"/>
              </w:rPr>
            </w:pPr>
          </w:p>
        </w:tc>
        <w:tc>
          <w:tcPr>
            <w:tcW w:w="5020" w:type="dxa"/>
            <w:vAlign w:val="bottom"/>
            <w:gridSpan w:val="2"/>
          </w:tcPr>
          <w:p>
            <w:pPr>
              <w:ind w:left="380"/>
              <w:spacing w:after="0" w:line="152" w:lineRule="exact"/>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160,085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141,493</w:t>
            </w:r>
          </w:p>
        </w:tc>
      </w:tr>
      <w:tr>
        <w:trPr>
          <w:trHeight w:val="152"/>
        </w:trPr>
        <w:tc>
          <w:tcPr>
            <w:tcW w:w="20" w:type="dxa"/>
            <w:vAlign w:val="bottom"/>
          </w:tcPr>
          <w:p>
            <w:pPr>
              <w:spacing w:after="0"/>
              <w:rPr>
                <w:sz w:val="13"/>
                <w:szCs w:val="13"/>
                <w:color w:val="auto"/>
              </w:rPr>
            </w:pPr>
          </w:p>
        </w:tc>
        <w:tc>
          <w:tcPr>
            <w:tcW w:w="5020" w:type="dxa"/>
            <w:vAlign w:val="bottom"/>
            <w:tcBorders>
              <w:bottom w:val="single" w:sz="8" w:color="CFF0FC"/>
            </w:tcBorders>
            <w:gridSpan w:val="2"/>
            <w:shd w:val="clear" w:color="auto" w:fill="CFF0FC"/>
          </w:tcPr>
          <w:p>
            <w:pPr>
              <w:spacing w:after="0" w:line="152" w:lineRule="exact"/>
              <w:rPr>
                <w:sz w:val="20"/>
                <w:szCs w:val="20"/>
                <w:color w:val="auto"/>
              </w:rPr>
            </w:pPr>
            <w:r>
              <w:rPr>
                <w:rFonts w:ascii="Arial" w:cs="Arial" w:eastAsia="Arial" w:hAnsi="Arial"/>
                <w:sz w:val="14"/>
                <w:szCs w:val="14"/>
                <w:color w:val="auto"/>
              </w:rPr>
              <w:t>Operating loss</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(157,109)</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(137,021)</w:t>
            </w:r>
          </w:p>
        </w:tc>
      </w:tr>
      <w:tr>
        <w:trPr>
          <w:trHeight w:val="152"/>
        </w:trPr>
        <w:tc>
          <w:tcPr>
            <w:tcW w:w="20" w:type="dxa"/>
            <w:vAlign w:val="bottom"/>
          </w:tcPr>
          <w:p>
            <w:pPr>
              <w:spacing w:after="0"/>
              <w:rPr>
                <w:sz w:val="13"/>
                <w:szCs w:val="13"/>
                <w:color w:val="auto"/>
              </w:rPr>
            </w:pPr>
          </w:p>
        </w:tc>
        <w:tc>
          <w:tcPr>
            <w:tcW w:w="5020" w:type="dxa"/>
            <w:vAlign w:val="bottom"/>
            <w:gridSpan w:val="2"/>
          </w:tcPr>
          <w:p>
            <w:pPr>
              <w:spacing w:after="0" w:line="152" w:lineRule="exact"/>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6,348</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8,489</w:t>
            </w:r>
          </w:p>
        </w:tc>
      </w:tr>
      <w:tr>
        <w:trPr>
          <w:trHeight w:val="161"/>
        </w:trPr>
        <w:tc>
          <w:tcPr>
            <w:tcW w:w="20" w:type="dxa"/>
            <w:vAlign w:val="bottom"/>
          </w:tcPr>
          <w:p>
            <w:pPr>
              <w:spacing w:after="0"/>
              <w:rPr>
                <w:sz w:val="14"/>
                <w:szCs w:val="14"/>
                <w:color w:val="auto"/>
              </w:rPr>
            </w:pPr>
          </w:p>
        </w:tc>
        <w:tc>
          <w:tcPr>
            <w:tcW w:w="5020" w:type="dxa"/>
            <w:vAlign w:val="bottom"/>
            <w:gridSpan w:val="2"/>
          </w:tcPr>
          <w:p>
            <w:pPr>
              <w:ind w:left="10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1"/>
        </w:trPr>
        <w:tc>
          <w:tcPr>
            <w:tcW w:w="20" w:type="dxa"/>
            <w:vAlign w:val="bottom"/>
          </w:tcPr>
          <w:p>
            <w:pPr>
              <w:spacing w:after="0"/>
              <w:rPr>
                <w:sz w:val="14"/>
                <w:szCs w:val="14"/>
                <w:color w:val="auto"/>
              </w:rPr>
            </w:pPr>
          </w:p>
        </w:tc>
        <w:tc>
          <w:tcPr>
            <w:tcW w:w="50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1,204</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w:t>
            </w:r>
          </w:p>
        </w:tc>
      </w:tr>
      <w:tr>
        <w:trPr>
          <w:trHeight w:val="152"/>
        </w:trPr>
        <w:tc>
          <w:tcPr>
            <w:tcW w:w="20" w:type="dxa"/>
            <w:vAlign w:val="bottom"/>
          </w:tcPr>
          <w:p>
            <w:pPr>
              <w:spacing w:after="0"/>
              <w:rPr>
                <w:sz w:val="13"/>
                <w:szCs w:val="13"/>
                <w:color w:val="auto"/>
              </w:rPr>
            </w:pPr>
          </w:p>
        </w:tc>
        <w:tc>
          <w:tcPr>
            <w:tcW w:w="5020" w:type="dxa"/>
            <w:vAlign w:val="bottom"/>
            <w:gridSpan w:val="2"/>
          </w:tcPr>
          <w:p>
            <w:pPr>
              <w:spacing w:after="0" w:line="152" w:lineRule="exact"/>
              <w:rPr>
                <w:sz w:val="20"/>
                <w:szCs w:val="20"/>
                <w:color w:val="auto"/>
              </w:rPr>
            </w:pPr>
            <w:r>
              <w:rPr>
                <w:rFonts w:ascii="Arial" w:cs="Arial" w:eastAsia="Arial" w:hAnsi="Arial"/>
                <w:sz w:val="14"/>
                <w:szCs w:val="14"/>
                <w:color w:val="auto"/>
              </w:rPr>
              <w:t>Total other income, net</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7,535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8,169</w:t>
            </w:r>
          </w:p>
        </w:tc>
      </w:tr>
      <w:tr>
        <w:trPr>
          <w:trHeight w:val="152"/>
        </w:trPr>
        <w:tc>
          <w:tcPr>
            <w:tcW w:w="20" w:type="dxa"/>
            <w:vAlign w:val="bottom"/>
          </w:tcPr>
          <w:p>
            <w:pPr>
              <w:spacing w:after="0"/>
              <w:rPr>
                <w:sz w:val="13"/>
                <w:szCs w:val="13"/>
                <w:color w:val="auto"/>
              </w:rPr>
            </w:pPr>
          </w:p>
        </w:tc>
        <w:tc>
          <w:tcPr>
            <w:tcW w:w="5020" w:type="dxa"/>
            <w:vAlign w:val="bottom"/>
            <w:tcBorders>
              <w:bottom w:val="single" w:sz="8" w:color="CFF0FC"/>
            </w:tcBorders>
            <w:gridSpan w:val="2"/>
            <w:shd w:val="clear" w:color="auto" w:fill="CFF0FC"/>
          </w:tcPr>
          <w:p>
            <w:pPr>
              <w:spacing w:after="0" w:line="152" w:lineRule="exact"/>
              <w:rPr>
                <w:sz w:val="20"/>
                <w:szCs w:val="20"/>
                <w:color w:val="auto"/>
              </w:rPr>
            </w:pPr>
            <w:r>
              <w:rPr>
                <w:rFonts w:ascii="Arial" w:cs="Arial" w:eastAsia="Arial" w:hAnsi="Arial"/>
                <w:sz w:val="14"/>
                <w:szCs w:val="14"/>
                <w:color w:val="auto"/>
              </w:rPr>
              <w:t>Loss before income taxes</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(149,574)</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(128,852)</w:t>
            </w:r>
          </w:p>
        </w:tc>
      </w:tr>
      <w:tr>
        <w:trPr>
          <w:trHeight w:val="152"/>
        </w:trPr>
        <w:tc>
          <w:tcPr>
            <w:tcW w:w="20" w:type="dxa"/>
            <w:vAlign w:val="bottom"/>
          </w:tcPr>
          <w:p>
            <w:pPr>
              <w:spacing w:after="0"/>
              <w:rPr>
                <w:sz w:val="13"/>
                <w:szCs w:val="13"/>
                <w:color w:val="auto"/>
              </w:rPr>
            </w:pPr>
          </w:p>
        </w:tc>
        <w:tc>
          <w:tcPr>
            <w:tcW w:w="5020" w:type="dxa"/>
            <w:vAlign w:val="bottom"/>
            <w:gridSpan w:val="2"/>
          </w:tcPr>
          <w:p>
            <w:pPr>
              <w:spacing w:after="0" w:line="152" w:lineRule="exact"/>
              <w:rPr>
                <w:sz w:val="20"/>
                <w:szCs w:val="20"/>
                <w:color w:val="auto"/>
              </w:rPr>
            </w:pPr>
            <w:r>
              <w:rPr>
                <w:rFonts w:ascii="Arial" w:cs="Arial" w:eastAsia="Arial" w:hAnsi="Arial"/>
                <w:sz w:val="14"/>
                <w:szCs w:val="14"/>
                <w:color w:val="auto"/>
              </w:rPr>
              <w:t>Income tax (benefit) provision</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(927)</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469</w:t>
            </w:r>
          </w:p>
        </w:tc>
      </w:tr>
      <w:tr>
        <w:trPr>
          <w:trHeight w:val="192"/>
        </w:trPr>
        <w:tc>
          <w:tcPr>
            <w:tcW w:w="20" w:type="dxa"/>
            <w:vAlign w:val="bottom"/>
          </w:tcPr>
          <w:p>
            <w:pPr>
              <w:spacing w:after="0"/>
              <w:rPr>
                <w:sz w:val="16"/>
                <w:szCs w:val="16"/>
                <w:color w:val="auto"/>
              </w:rPr>
            </w:pPr>
          </w:p>
        </w:tc>
        <w:tc>
          <w:tcPr>
            <w:tcW w:w="5020" w:type="dxa"/>
            <w:vAlign w:val="bottom"/>
            <w:gridSpan w:val="2"/>
            <w:shd w:val="clear" w:color="auto" w:fill="CFF0FC"/>
          </w:tcPr>
          <w:p>
            <w:pPr>
              <w:spacing w:after="0" w:line="141" w:lineRule="exact"/>
              <w:rPr>
                <w:sz w:val="20"/>
                <w:szCs w:val="20"/>
                <w:color w:val="auto"/>
              </w:rPr>
            </w:pPr>
            <w:r>
              <w:rPr>
                <w:rFonts w:ascii="Arial" w:cs="Arial" w:eastAsia="Arial" w:hAnsi="Arial"/>
                <w:sz w:val="14"/>
                <w:szCs w:val="14"/>
                <w:color w:val="auto"/>
              </w:rPr>
              <w:t>Net loss</w:t>
            </w:r>
          </w:p>
        </w:tc>
        <w:tc>
          <w:tcPr>
            <w:tcW w:w="500" w:type="dxa"/>
            <w:vAlign w:val="bottom"/>
            <w:gridSpan w:val="2"/>
            <w:shd w:val="clear" w:color="auto" w:fill="CFF0FC"/>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(148,647)</w:t>
            </w:r>
          </w:p>
        </w:tc>
        <w:tc>
          <w:tcPr>
            <w:tcW w:w="360" w:type="dxa"/>
            <w:vAlign w:val="bottom"/>
            <w:gridSpan w:val="2"/>
            <w:shd w:val="clear" w:color="auto" w:fill="CFF0FC"/>
          </w:tcPr>
          <w:p>
            <w:pPr>
              <w:jc w:val="right"/>
              <w:ind w:right="88"/>
              <w:spacing w:after="0" w:line="141"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(129,321)</w:t>
            </w:r>
          </w:p>
        </w:tc>
      </w:tr>
      <w:tr>
        <w:trPr>
          <w:trHeight w:val="133"/>
        </w:trPr>
        <w:tc>
          <w:tcPr>
            <w:tcW w:w="20" w:type="dxa"/>
            <w:vAlign w:val="bottom"/>
          </w:tcPr>
          <w:p>
            <w:pPr>
              <w:spacing w:after="0"/>
              <w:rPr>
                <w:sz w:val="11"/>
                <w:szCs w:val="11"/>
                <w:color w:val="auto"/>
              </w:rPr>
            </w:pPr>
          </w:p>
        </w:tc>
        <w:tc>
          <w:tcPr>
            <w:tcW w:w="5020" w:type="dxa"/>
            <w:vAlign w:val="bottom"/>
            <w:tcBorders>
              <w:top w:val="single" w:sz="8" w:color="CFF0FC"/>
            </w:tcBorders>
            <w:gridSpan w:val="2"/>
          </w:tcPr>
          <w:p>
            <w:pPr>
              <w:spacing w:after="0" w:line="133" w:lineRule="exact"/>
              <w:rPr>
                <w:sz w:val="20"/>
                <w:szCs w:val="20"/>
                <w:color w:val="auto"/>
              </w:rPr>
            </w:pPr>
            <w:r>
              <w:rPr>
                <w:rFonts w:ascii="Arial" w:cs="Arial" w:eastAsia="Arial" w:hAnsi="Arial"/>
                <w:sz w:val="14"/>
                <w:szCs w:val="14"/>
                <w:color w:val="auto"/>
              </w:rPr>
              <w:t>Other comprehensive (loss) income:</w:t>
            </w:r>
          </w:p>
        </w:tc>
        <w:tc>
          <w:tcPr>
            <w:tcW w:w="24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Foreign currency translation adjustment, net of tax</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1,493</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w:t>
            </w:r>
          </w:p>
        </w:tc>
      </w:tr>
      <w:tr>
        <w:trPr>
          <w:trHeight w:val="161"/>
        </w:trPr>
        <w:tc>
          <w:tcPr>
            <w:tcW w:w="20" w:type="dxa"/>
            <w:vAlign w:val="bottom"/>
          </w:tcPr>
          <w:p>
            <w:pPr>
              <w:spacing w:after="0"/>
              <w:rPr>
                <w:sz w:val="14"/>
                <w:szCs w:val="14"/>
                <w:color w:val="auto"/>
              </w:rPr>
            </w:pPr>
          </w:p>
        </w:tc>
        <w:tc>
          <w:tcPr>
            <w:tcW w:w="5020" w:type="dxa"/>
            <w:vAlign w:val="bottom"/>
            <w:gridSpan w:val="2"/>
          </w:tcPr>
          <w:p>
            <w:pPr>
              <w:ind w:left="180"/>
              <w:spacing w:after="0"/>
              <w:rPr>
                <w:sz w:val="20"/>
                <w:szCs w:val="20"/>
                <w:color w:val="auto"/>
              </w:rPr>
            </w:pPr>
            <w:r>
              <w:rPr>
                <w:rFonts w:ascii="Arial" w:cs="Arial" w:eastAsia="Arial" w:hAnsi="Arial"/>
                <w:sz w:val="14"/>
                <w:szCs w:val="14"/>
                <w:color w:val="auto"/>
              </w:rPr>
              <w:t>Unrealized gain on marketable securities, net of tax</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r>
      <w:tr>
        <w:trPr>
          <w:trHeight w:val="152"/>
        </w:trPr>
        <w:tc>
          <w:tcPr>
            <w:tcW w:w="20" w:type="dxa"/>
            <w:vAlign w:val="bottom"/>
          </w:tcPr>
          <w:p>
            <w:pPr>
              <w:spacing w:after="0"/>
              <w:rPr>
                <w:sz w:val="13"/>
                <w:szCs w:val="13"/>
                <w:color w:val="auto"/>
              </w:rPr>
            </w:pPr>
          </w:p>
        </w:tc>
        <w:tc>
          <w:tcPr>
            <w:tcW w:w="5020" w:type="dxa"/>
            <w:vAlign w:val="bottom"/>
            <w:tcBorders>
              <w:bottom w:val="single" w:sz="8" w:color="CFF0FC"/>
            </w:tcBorders>
            <w:gridSpan w:val="2"/>
            <w:shd w:val="clear" w:color="auto" w:fill="CFF0FC"/>
          </w:tcPr>
          <w:p>
            <w:pPr>
              <w:spacing w:after="0" w:line="152" w:lineRule="exact"/>
              <w:rPr>
                <w:sz w:val="20"/>
                <w:szCs w:val="20"/>
                <w:color w:val="auto"/>
              </w:rPr>
            </w:pPr>
            <w:r>
              <w:rPr>
                <w:rFonts w:ascii="Arial" w:cs="Arial" w:eastAsia="Arial" w:hAnsi="Arial"/>
                <w:sz w:val="14"/>
                <w:szCs w:val="14"/>
                <w:color w:val="auto"/>
              </w:rPr>
              <w:t>Total other comprehensive (loss) income</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1,586</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(483)</w:t>
            </w:r>
          </w:p>
        </w:tc>
      </w:tr>
      <w:tr>
        <w:trPr>
          <w:trHeight w:val="152"/>
        </w:trPr>
        <w:tc>
          <w:tcPr>
            <w:tcW w:w="5040" w:type="dxa"/>
            <w:vAlign w:val="bottom"/>
            <w:gridSpan w:val="3"/>
          </w:tcPr>
          <w:p>
            <w:pPr>
              <w:spacing w:after="0" w:line="141" w:lineRule="exact"/>
              <w:rPr>
                <w:sz w:val="20"/>
                <w:szCs w:val="20"/>
                <w:color w:val="auto"/>
              </w:rPr>
            </w:pPr>
            <w:r>
              <w:rPr>
                <w:rFonts w:ascii="Arial" w:cs="Arial" w:eastAsia="Arial" w:hAnsi="Arial"/>
                <w:sz w:val="14"/>
                <w:szCs w:val="14"/>
                <w:color w:val="auto"/>
              </w:rPr>
              <w:t>Comprehensive loss</w:t>
            </w:r>
          </w:p>
        </w:tc>
        <w:tc>
          <w:tcPr>
            <w:tcW w:w="50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1" w:lineRule="exact"/>
              <w:rPr>
                <w:sz w:val="20"/>
                <w:szCs w:val="20"/>
                <w:color w:val="auto"/>
              </w:rPr>
            </w:pPr>
            <w:r>
              <w:rPr>
                <w:rFonts w:ascii="Arial" w:cs="Arial" w:eastAsia="Arial" w:hAnsi="Arial"/>
                <w:sz w:val="14"/>
                <w:szCs w:val="14"/>
                <w:color w:val="auto"/>
              </w:rPr>
              <w:t>(147,061)</w:t>
            </w:r>
          </w:p>
        </w:tc>
        <w:tc>
          <w:tcPr>
            <w:tcW w:w="360" w:type="dxa"/>
            <w:vAlign w:val="bottom"/>
            <w:gridSpan w:val="2"/>
          </w:tcPr>
          <w:p>
            <w:pPr>
              <w:jc w:val="right"/>
              <w:ind w:right="88"/>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1" w:lineRule="exact"/>
              <w:rPr>
                <w:sz w:val="20"/>
                <w:szCs w:val="20"/>
                <w:color w:val="auto"/>
              </w:rPr>
            </w:pPr>
            <w:r>
              <w:rPr>
                <w:rFonts w:ascii="Arial" w:cs="Arial" w:eastAsia="Arial" w:hAnsi="Arial"/>
                <w:sz w:val="14"/>
                <w:szCs w:val="14"/>
                <w:color w:val="auto"/>
              </w:rPr>
              <w:t>(129,804)</w:t>
            </w:r>
          </w:p>
        </w:tc>
      </w:tr>
      <w:tr>
        <w:trPr>
          <w:trHeight w:val="20"/>
        </w:trPr>
        <w:tc>
          <w:tcPr>
            <w:tcW w:w="5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020" w:type="dxa"/>
            <w:vAlign w:val="bottom"/>
            <w:tcBorders>
              <w:bottom w:val="single" w:sz="8" w:color="CFF0FC"/>
            </w:tcBorders>
            <w:gridSpan w:val="2"/>
            <w:shd w:val="clear" w:color="auto" w:fill="CFF0FC"/>
          </w:tcPr>
          <w:p>
            <w:pPr>
              <w:spacing w:after="0" w:line="133" w:lineRule="exact"/>
              <w:rPr>
                <w:sz w:val="20"/>
                <w:szCs w:val="20"/>
                <w:color w:val="auto"/>
              </w:rPr>
            </w:pPr>
            <w:r>
              <w:rPr>
                <w:rFonts w:ascii="Arial" w:cs="Arial" w:eastAsia="Arial" w:hAnsi="Arial"/>
                <w:sz w:val="14"/>
                <w:szCs w:val="14"/>
                <w:color w:val="auto"/>
              </w:rPr>
              <w:t>Net loss attributable to common stockholders (see Note 17)</w:t>
            </w:r>
          </w:p>
        </w:tc>
        <w:tc>
          <w:tcPr>
            <w:tcW w:w="2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(148,647)</w:t>
            </w:r>
          </w:p>
        </w:tc>
        <w:tc>
          <w:tcPr>
            <w:tcW w:w="1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(130,401)</w:t>
            </w:r>
          </w:p>
        </w:tc>
      </w:tr>
      <w:tr>
        <w:trPr>
          <w:trHeight w:val="152"/>
        </w:trPr>
        <w:tc>
          <w:tcPr>
            <w:tcW w:w="20" w:type="dxa"/>
            <w:vAlign w:val="bottom"/>
          </w:tcPr>
          <w:p>
            <w:pPr>
              <w:spacing w:after="0"/>
              <w:rPr>
                <w:sz w:val="13"/>
                <w:szCs w:val="13"/>
                <w:color w:val="auto"/>
              </w:rPr>
            </w:pPr>
          </w:p>
        </w:tc>
        <w:tc>
          <w:tcPr>
            <w:tcW w:w="5020" w:type="dxa"/>
            <w:vAlign w:val="bottom"/>
            <w:gridSpan w:val="2"/>
          </w:tcPr>
          <w:p>
            <w:pPr>
              <w:spacing w:after="0" w:line="152" w:lineRule="exact"/>
              <w:rPr>
                <w:sz w:val="20"/>
                <w:szCs w:val="20"/>
                <w:color w:val="auto"/>
              </w:rPr>
            </w:pPr>
            <w:r>
              <w:rPr>
                <w:rFonts w:ascii="Arial" w:cs="Arial" w:eastAsia="Arial" w:hAnsi="Arial"/>
                <w:sz w:val="14"/>
                <w:szCs w:val="14"/>
                <w:color w:val="auto"/>
              </w:rPr>
              <w:t>Net loss per share attributable to common stockholders, basic and diluted</w:t>
            </w:r>
          </w:p>
        </w:tc>
        <w:tc>
          <w:tcPr>
            <w:tcW w:w="500" w:type="dxa"/>
            <w:vAlign w:val="bottom"/>
            <w:gridSpan w:val="2"/>
          </w:tcPr>
          <w:p>
            <w:pPr>
              <w:jc w:val="right"/>
              <w:ind w:right="180"/>
              <w:spacing w:after="0" w:line="152"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2" w:lineRule="exact"/>
              <w:rPr>
                <w:sz w:val="20"/>
                <w:szCs w:val="20"/>
                <w:color w:val="auto"/>
              </w:rPr>
            </w:pPr>
            <w:r>
              <w:rPr>
                <w:rFonts w:ascii="Arial" w:cs="Arial" w:eastAsia="Arial" w:hAnsi="Arial"/>
                <w:sz w:val="14"/>
                <w:szCs w:val="14"/>
                <w:color w:val="auto"/>
              </w:rPr>
              <w:t>(5.16)</w:t>
            </w:r>
          </w:p>
        </w:tc>
        <w:tc>
          <w:tcPr>
            <w:tcW w:w="120" w:type="dxa"/>
            <w:vAlign w:val="bottom"/>
          </w:tcPr>
          <w:p>
            <w:pPr>
              <w:spacing w:after="0"/>
              <w:rPr>
                <w:sz w:val="13"/>
                <w:szCs w:val="13"/>
                <w:color w:val="auto"/>
              </w:rPr>
            </w:pPr>
          </w:p>
        </w:tc>
        <w:tc>
          <w:tcPr>
            <w:tcW w:w="240" w:type="dxa"/>
            <w:vAlign w:val="bottom"/>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(16.63)</w:t>
            </w:r>
          </w:p>
        </w:tc>
      </w:tr>
      <w:tr>
        <w:trPr>
          <w:trHeight w:val="152"/>
        </w:trPr>
        <w:tc>
          <w:tcPr>
            <w:tcW w:w="20" w:type="dxa"/>
            <w:vAlign w:val="bottom"/>
          </w:tcPr>
          <w:p>
            <w:pPr>
              <w:spacing w:after="0"/>
              <w:rPr>
                <w:sz w:val="13"/>
                <w:szCs w:val="13"/>
                <w:color w:val="auto"/>
              </w:rPr>
            </w:pPr>
          </w:p>
        </w:tc>
        <w:tc>
          <w:tcPr>
            <w:tcW w:w="5020" w:type="dxa"/>
            <w:vAlign w:val="bottom"/>
            <w:tcBorders>
              <w:bottom w:val="single" w:sz="8" w:color="CFF0FC"/>
            </w:tcBorders>
            <w:gridSpan w:val="2"/>
            <w:shd w:val="clear" w:color="auto" w:fill="CFF0FC"/>
          </w:tcPr>
          <w:p>
            <w:pPr>
              <w:spacing w:after="0" w:line="152" w:lineRule="exact"/>
              <w:rPr>
                <w:sz w:val="20"/>
                <w:szCs w:val="20"/>
                <w:color w:val="auto"/>
              </w:rPr>
            </w:pPr>
            <w:r>
              <w:rPr>
                <w:rFonts w:ascii="Arial" w:cs="Arial" w:eastAsia="Arial" w:hAnsi="Arial"/>
                <w:sz w:val="14"/>
                <w:szCs w:val="14"/>
                <w:color w:val="auto"/>
              </w:rPr>
              <w:t>Weighted-average common stock outstanding, basic and diluted</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28,813,328</w:t>
            </w:r>
          </w:p>
        </w:tc>
        <w:tc>
          <w:tcPr>
            <w:tcW w:w="12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7,841,528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-1963420</wp:posOffset>
            </wp:positionV>
            <wp:extent cx="7493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-1744980</wp:posOffset>
            </wp:positionV>
            <wp:extent cx="7493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-1329055</wp:posOffset>
            </wp:positionV>
            <wp:extent cx="7493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-1110615</wp:posOffset>
            </wp:positionV>
            <wp:extent cx="7493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-892810</wp:posOffset>
            </wp:positionV>
            <wp:extent cx="7493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-878840</wp:posOffset>
            </wp:positionV>
            <wp:extent cx="7493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-456565</wp:posOffset>
            </wp:positionV>
            <wp:extent cx="7493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-224155</wp:posOffset>
            </wp:positionV>
            <wp:extent cx="7493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-6350</wp:posOffset>
            </wp:positionV>
            <wp:extent cx="7493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audited consolidated financial statements.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Odyssey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Convertible Preferred Stock and Stockholders’ Deficit</w:t>
      </w: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Accumulated</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80" w:type="dxa"/>
            <w:vAlign w:val="bottom"/>
          </w:tcPr>
          <w:p>
            <w:pPr>
              <w:spacing w:after="0"/>
              <w:rPr>
                <w:sz w:val="8"/>
                <w:szCs w:val="8"/>
                <w:color w:val="auto"/>
              </w:rPr>
            </w:pPr>
          </w:p>
        </w:tc>
        <w:tc>
          <w:tcPr>
            <w:tcW w:w="1220" w:type="dxa"/>
            <w:vAlign w:val="bottom"/>
            <w:gridSpan w:val="3"/>
            <w:vMerge w:val="restart"/>
          </w:tcPr>
          <w:p>
            <w:pPr>
              <w:jc w:val="center"/>
              <w:ind w:right="78"/>
              <w:spacing w:after="0"/>
              <w:rPr>
                <w:sz w:val="20"/>
                <w:szCs w:val="20"/>
                <w:color w:val="auto"/>
              </w:rPr>
            </w:pPr>
            <w:r>
              <w:rPr>
                <w:rFonts w:ascii="Arial" w:cs="Arial" w:eastAsia="Arial" w:hAnsi="Arial"/>
                <w:sz w:val="9"/>
                <w:szCs w:val="9"/>
                <w:b w:val="1"/>
                <w:bCs w:val="1"/>
                <w:color w:val="auto"/>
                <w:w w:val="94"/>
              </w:rPr>
              <w:t>Series A convertible</w:t>
            </w:r>
          </w:p>
        </w:tc>
        <w:tc>
          <w:tcPr>
            <w:tcW w:w="1160" w:type="dxa"/>
            <w:vAlign w:val="bottom"/>
            <w:gridSpan w:val="3"/>
            <w:vMerge w:val="restart"/>
          </w:tcPr>
          <w:p>
            <w:pPr>
              <w:jc w:val="center"/>
              <w:ind w:right="58"/>
              <w:spacing w:after="0"/>
              <w:rPr>
                <w:sz w:val="20"/>
                <w:szCs w:val="20"/>
                <w:color w:val="auto"/>
              </w:rPr>
            </w:pPr>
            <w:r>
              <w:rPr>
                <w:rFonts w:ascii="Arial" w:cs="Arial" w:eastAsia="Arial" w:hAnsi="Arial"/>
                <w:sz w:val="9"/>
                <w:szCs w:val="9"/>
                <w:b w:val="1"/>
                <w:bCs w:val="1"/>
                <w:color w:val="auto"/>
                <w:w w:val="94"/>
              </w:rPr>
              <w:t>Series B convertible</w:t>
            </w:r>
          </w:p>
        </w:tc>
        <w:tc>
          <w:tcPr>
            <w:tcW w:w="1200" w:type="dxa"/>
            <w:vAlign w:val="bottom"/>
            <w:gridSpan w:val="3"/>
            <w:vMerge w:val="restart"/>
          </w:tcPr>
          <w:p>
            <w:pPr>
              <w:jc w:val="center"/>
              <w:ind w:right="58"/>
              <w:spacing w:after="0"/>
              <w:rPr>
                <w:sz w:val="20"/>
                <w:szCs w:val="20"/>
                <w:color w:val="auto"/>
              </w:rPr>
            </w:pPr>
            <w:r>
              <w:rPr>
                <w:rFonts w:ascii="Arial" w:cs="Arial" w:eastAsia="Arial" w:hAnsi="Arial"/>
                <w:sz w:val="9"/>
                <w:szCs w:val="9"/>
                <w:b w:val="1"/>
                <w:bCs w:val="1"/>
                <w:color w:val="auto"/>
                <w:w w:val="94"/>
              </w:rPr>
              <w:t>Series C convertible</w:t>
            </w:r>
          </w:p>
        </w:tc>
        <w:tc>
          <w:tcPr>
            <w:tcW w:w="960" w:type="dxa"/>
            <w:vAlign w:val="bottom"/>
            <w:gridSpan w:val="2"/>
            <w:vMerge w:val="restart"/>
          </w:tcPr>
          <w:p>
            <w:pPr>
              <w:jc w:val="center"/>
              <w:ind w:left="77"/>
              <w:spacing w:after="0"/>
              <w:rPr>
                <w:sz w:val="20"/>
                <w:szCs w:val="20"/>
                <w:color w:val="auto"/>
              </w:rPr>
            </w:pPr>
            <w:r>
              <w:rPr>
                <w:rFonts w:ascii="Arial" w:cs="Arial" w:eastAsia="Arial" w:hAnsi="Arial"/>
                <w:sz w:val="9"/>
                <w:szCs w:val="9"/>
                <w:b w:val="1"/>
                <w:bCs w:val="1"/>
                <w:color w:val="auto"/>
                <w:w w:val="97"/>
              </w:rPr>
              <w:t>Series D convertible</w:t>
            </w:r>
          </w:p>
        </w:tc>
        <w:tc>
          <w:tcPr>
            <w:tcW w:w="2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center"/>
              <w:ind w:right="77"/>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center"/>
              <w:ind w:right="157"/>
              <w:spacing w:after="0" w:line="97" w:lineRule="exact"/>
              <w:rPr>
                <w:sz w:val="20"/>
                <w:szCs w:val="20"/>
                <w:color w:val="auto"/>
              </w:rPr>
            </w:pPr>
            <w:r>
              <w:rPr>
                <w:rFonts w:ascii="Arial" w:cs="Arial" w:eastAsia="Arial" w:hAnsi="Arial"/>
                <w:sz w:val="9"/>
                <w:szCs w:val="9"/>
                <w:b w:val="1"/>
                <w:bCs w:val="1"/>
                <w:color w:val="auto"/>
                <w:w w:val="97"/>
              </w:rPr>
              <w:t>other</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78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Accumulate</w:t>
            </w:r>
          </w:p>
        </w:tc>
        <w:tc>
          <w:tcPr>
            <w:tcW w:w="700" w:type="dxa"/>
            <w:vAlign w:val="bottom"/>
            <w:gridSpan w:val="2"/>
          </w:tcPr>
          <w:p>
            <w:pPr>
              <w:jc w:val="center"/>
              <w:spacing w:after="0" w:line="86" w:lineRule="exact"/>
              <w:rPr>
                <w:sz w:val="20"/>
                <w:szCs w:val="20"/>
                <w:color w:val="auto"/>
              </w:rPr>
            </w:pPr>
            <w:r>
              <w:rPr>
                <w:rFonts w:ascii="Arial" w:cs="Arial" w:eastAsia="Arial" w:hAnsi="Arial"/>
                <w:sz w:val="9"/>
                <w:szCs w:val="9"/>
                <w:b w:val="1"/>
                <w:bCs w:val="1"/>
                <w:color w:val="auto"/>
                <w:w w:val="96"/>
              </w:rPr>
              <w:t>comprehensi</w:t>
            </w:r>
          </w:p>
        </w:tc>
        <w:tc>
          <w:tcPr>
            <w:tcW w:w="120" w:type="dxa"/>
            <w:vAlign w:val="bottom"/>
          </w:tcPr>
          <w:p>
            <w:pPr>
              <w:spacing w:after="0"/>
              <w:rPr>
                <w:sz w:val="7"/>
                <w:szCs w:val="7"/>
                <w:color w:val="auto"/>
              </w:rPr>
            </w:pPr>
          </w:p>
        </w:tc>
        <w:tc>
          <w:tcPr>
            <w:tcW w:w="580" w:type="dxa"/>
            <w:vAlign w:val="bottom"/>
          </w:tcPr>
          <w:p>
            <w:pPr>
              <w:jc w:val="center"/>
              <w:ind w:right="177"/>
              <w:spacing w:after="0" w:line="86"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1220" w:type="dxa"/>
            <w:vAlign w:val="bottom"/>
            <w:tcBorders>
              <w:bottom w:val="single" w:sz="8" w:color="auto"/>
            </w:tcBorders>
            <w:gridSpan w:val="3"/>
          </w:tcPr>
          <w:p>
            <w:pPr>
              <w:jc w:val="center"/>
              <w:ind w:right="78"/>
              <w:spacing w:after="0"/>
              <w:rPr>
                <w:sz w:val="20"/>
                <w:szCs w:val="20"/>
                <w:color w:val="auto"/>
              </w:rPr>
            </w:pPr>
            <w:r>
              <w:rPr>
                <w:rFonts w:ascii="Arial" w:cs="Arial" w:eastAsia="Arial" w:hAnsi="Arial"/>
                <w:sz w:val="9"/>
                <w:szCs w:val="9"/>
                <w:b w:val="1"/>
                <w:bCs w:val="1"/>
                <w:color w:val="auto"/>
                <w:w w:val="94"/>
              </w:rPr>
              <w:t>preferred stock</w:t>
            </w:r>
          </w:p>
        </w:tc>
        <w:tc>
          <w:tcPr>
            <w:tcW w:w="1160" w:type="dxa"/>
            <w:vAlign w:val="bottom"/>
            <w:tcBorders>
              <w:bottom w:val="single" w:sz="8" w:color="auto"/>
            </w:tcBorders>
            <w:gridSpan w:val="3"/>
          </w:tcPr>
          <w:p>
            <w:pPr>
              <w:jc w:val="center"/>
              <w:ind w:right="58"/>
              <w:spacing w:after="0"/>
              <w:rPr>
                <w:sz w:val="20"/>
                <w:szCs w:val="20"/>
                <w:color w:val="auto"/>
              </w:rPr>
            </w:pPr>
            <w:r>
              <w:rPr>
                <w:rFonts w:ascii="Arial" w:cs="Arial" w:eastAsia="Arial" w:hAnsi="Arial"/>
                <w:sz w:val="9"/>
                <w:szCs w:val="9"/>
                <w:b w:val="1"/>
                <w:bCs w:val="1"/>
                <w:color w:val="auto"/>
                <w:w w:val="94"/>
              </w:rPr>
              <w:t>preferred stock</w:t>
            </w:r>
          </w:p>
        </w:tc>
        <w:tc>
          <w:tcPr>
            <w:tcW w:w="1200" w:type="dxa"/>
            <w:vAlign w:val="bottom"/>
            <w:tcBorders>
              <w:bottom w:val="single" w:sz="8" w:color="auto"/>
            </w:tcBorders>
            <w:gridSpan w:val="3"/>
          </w:tcPr>
          <w:p>
            <w:pPr>
              <w:jc w:val="center"/>
              <w:ind w:right="58"/>
              <w:spacing w:after="0"/>
              <w:rPr>
                <w:sz w:val="20"/>
                <w:szCs w:val="20"/>
                <w:color w:val="auto"/>
              </w:rPr>
            </w:pPr>
            <w:r>
              <w:rPr>
                <w:rFonts w:ascii="Arial" w:cs="Arial" w:eastAsia="Arial" w:hAnsi="Arial"/>
                <w:sz w:val="9"/>
                <w:szCs w:val="9"/>
                <w:b w:val="1"/>
                <w:bCs w:val="1"/>
                <w:color w:val="auto"/>
                <w:w w:val="94"/>
              </w:rPr>
              <w:t>preferred stock</w:t>
            </w:r>
          </w:p>
        </w:tc>
        <w:tc>
          <w:tcPr>
            <w:tcW w:w="96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9"/>
                <w:szCs w:val="9"/>
                <w:b w:val="1"/>
                <w:bCs w:val="1"/>
                <w:color w:val="auto"/>
                <w:w w:val="97"/>
              </w:rPr>
              <w:t>preferred stock</w:t>
            </w:r>
          </w:p>
        </w:tc>
        <w:tc>
          <w:tcPr>
            <w:tcW w:w="2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97"/>
              <w:spacing w:after="0"/>
              <w:rPr>
                <w:sz w:val="20"/>
                <w:szCs w:val="20"/>
                <w:color w:val="auto"/>
              </w:rPr>
            </w:pPr>
            <w:r>
              <w:rPr>
                <w:rFonts w:ascii="Arial" w:cs="Arial" w:eastAsia="Arial" w:hAnsi="Arial"/>
                <w:sz w:val="9"/>
                <w:szCs w:val="9"/>
                <w:b w:val="1"/>
                <w:bCs w:val="1"/>
                <w:color w:val="auto"/>
                <w:w w:val="94"/>
              </w:rPr>
              <w:t>paid-in</w:t>
            </w:r>
          </w:p>
        </w:tc>
        <w:tc>
          <w:tcPr>
            <w:tcW w:w="140" w:type="dxa"/>
            <w:vAlign w:val="bottom"/>
          </w:tcPr>
          <w:p>
            <w:pPr>
              <w:spacing w:after="0"/>
              <w:rPr>
                <w:sz w:val="9"/>
                <w:szCs w:val="9"/>
                <w:color w:val="auto"/>
              </w:rPr>
            </w:pPr>
          </w:p>
        </w:tc>
        <w:tc>
          <w:tcPr>
            <w:tcW w:w="480" w:type="dxa"/>
            <w:vAlign w:val="bottom"/>
          </w:tcPr>
          <w:p>
            <w:pPr>
              <w:jc w:val="center"/>
              <w:ind w:right="97"/>
              <w:spacing w:after="0"/>
              <w:rPr>
                <w:sz w:val="20"/>
                <w:szCs w:val="20"/>
                <w:color w:val="auto"/>
              </w:rPr>
            </w:pPr>
            <w:r>
              <w:rPr>
                <w:rFonts w:ascii="Arial" w:cs="Arial" w:eastAsia="Arial" w:hAnsi="Arial"/>
                <w:sz w:val="9"/>
                <w:szCs w:val="9"/>
                <w:b w:val="1"/>
                <w:bCs w:val="1"/>
                <w:color w:val="auto"/>
              </w:rPr>
              <w:t>d</w:t>
            </w:r>
          </w:p>
        </w:tc>
        <w:tc>
          <w:tcPr>
            <w:tcW w:w="160" w:type="dxa"/>
            <w:vAlign w:val="bottom"/>
          </w:tcPr>
          <w:p>
            <w:pPr>
              <w:spacing w:after="0"/>
              <w:rPr>
                <w:sz w:val="9"/>
                <w:szCs w:val="9"/>
                <w:color w:val="auto"/>
              </w:rPr>
            </w:pPr>
          </w:p>
        </w:tc>
        <w:tc>
          <w:tcPr>
            <w:tcW w:w="540" w:type="dxa"/>
            <w:vAlign w:val="bottom"/>
          </w:tcPr>
          <w:p>
            <w:pPr>
              <w:jc w:val="center"/>
              <w:ind w:right="157"/>
              <w:spacing w:after="0"/>
              <w:rPr>
                <w:sz w:val="20"/>
                <w:szCs w:val="20"/>
                <w:color w:val="auto"/>
              </w:rPr>
            </w:pPr>
            <w:r>
              <w:rPr>
                <w:rFonts w:ascii="Arial" w:cs="Arial" w:eastAsia="Arial" w:hAnsi="Arial"/>
                <w:sz w:val="9"/>
                <w:szCs w:val="9"/>
                <w:b w:val="1"/>
                <w:bCs w:val="1"/>
                <w:color w:val="auto"/>
                <w:w w:val="99"/>
              </w:rPr>
              <w:t>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87"/>
        </w:trPr>
        <w:tc>
          <w:tcPr>
            <w:tcW w:w="17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78"/>
              <w:spacing w:after="0" w:line="88" w:lineRule="exact"/>
              <w:rPr>
                <w:sz w:val="20"/>
                <w:szCs w:val="20"/>
                <w:color w:val="auto"/>
              </w:rPr>
            </w:pPr>
            <w:r>
              <w:rPr>
                <w:rFonts w:ascii="Arial" w:cs="Arial" w:eastAsia="Arial" w:hAnsi="Arial"/>
                <w:sz w:val="9"/>
                <w:szCs w:val="9"/>
                <w:b w:val="1"/>
                <w:bCs w:val="1"/>
                <w:color w:val="auto"/>
              </w:rPr>
              <w:t>Shares</w:t>
            </w:r>
          </w:p>
        </w:tc>
        <w:tc>
          <w:tcPr>
            <w:tcW w:w="620" w:type="dxa"/>
            <w:vAlign w:val="bottom"/>
            <w:tcBorders>
              <w:bottom w:val="single" w:sz="8" w:color="auto"/>
            </w:tcBorders>
            <w:gridSpan w:val="2"/>
          </w:tcPr>
          <w:p>
            <w:pPr>
              <w:jc w:val="right"/>
              <w:ind w:right="118"/>
              <w:spacing w:after="0" w:line="88" w:lineRule="exact"/>
              <w:rPr>
                <w:sz w:val="20"/>
                <w:szCs w:val="20"/>
                <w:color w:val="auto"/>
              </w:rPr>
            </w:pPr>
            <w:r>
              <w:rPr>
                <w:rFonts w:ascii="Arial" w:cs="Arial" w:eastAsia="Arial" w:hAnsi="Arial"/>
                <w:sz w:val="9"/>
                <w:szCs w:val="9"/>
                <w:b w:val="1"/>
                <w:bCs w:val="1"/>
                <w:color w:val="auto"/>
              </w:rPr>
              <w:t>Amount</w:t>
            </w:r>
          </w:p>
        </w:tc>
        <w:tc>
          <w:tcPr>
            <w:tcW w:w="560" w:type="dxa"/>
            <w:vAlign w:val="bottom"/>
            <w:tcBorders>
              <w:bottom w:val="single" w:sz="8" w:color="auto"/>
            </w:tcBorders>
          </w:tcPr>
          <w:p>
            <w:pPr>
              <w:jc w:val="right"/>
              <w:ind w:right="158"/>
              <w:spacing w:after="0" w:line="88" w:lineRule="exact"/>
              <w:rPr>
                <w:sz w:val="20"/>
                <w:szCs w:val="20"/>
                <w:color w:val="auto"/>
              </w:rPr>
            </w:pPr>
            <w:r>
              <w:rPr>
                <w:rFonts w:ascii="Arial" w:cs="Arial" w:eastAsia="Arial" w:hAnsi="Arial"/>
                <w:sz w:val="9"/>
                <w:szCs w:val="9"/>
                <w:b w:val="1"/>
                <w:bCs w:val="1"/>
                <w:color w:val="auto"/>
              </w:rPr>
              <w:t>Shares</w:t>
            </w:r>
          </w:p>
        </w:tc>
        <w:tc>
          <w:tcPr>
            <w:tcW w:w="600" w:type="dxa"/>
            <w:vAlign w:val="bottom"/>
            <w:tcBorders>
              <w:bottom w:val="single" w:sz="8" w:color="auto"/>
            </w:tcBorders>
            <w:gridSpan w:val="2"/>
          </w:tcPr>
          <w:p>
            <w:pPr>
              <w:jc w:val="right"/>
              <w:ind w:right="98"/>
              <w:spacing w:after="0" w:line="88" w:lineRule="exact"/>
              <w:rPr>
                <w:sz w:val="20"/>
                <w:szCs w:val="20"/>
                <w:color w:val="auto"/>
              </w:rPr>
            </w:pPr>
            <w:r>
              <w:rPr>
                <w:rFonts w:ascii="Arial" w:cs="Arial" w:eastAsia="Arial" w:hAnsi="Arial"/>
                <w:sz w:val="9"/>
                <w:szCs w:val="9"/>
                <w:b w:val="1"/>
                <w:bCs w:val="1"/>
                <w:color w:val="auto"/>
              </w:rPr>
              <w:t>Amount</w:t>
            </w:r>
          </w:p>
        </w:tc>
        <w:tc>
          <w:tcPr>
            <w:tcW w:w="580" w:type="dxa"/>
            <w:vAlign w:val="bottom"/>
            <w:tcBorders>
              <w:bottom w:val="single" w:sz="8" w:color="auto"/>
            </w:tcBorders>
          </w:tcPr>
          <w:p>
            <w:pPr>
              <w:jc w:val="right"/>
              <w:ind w:right="158"/>
              <w:spacing w:after="0" w:line="88" w:lineRule="exact"/>
              <w:rPr>
                <w:sz w:val="20"/>
                <w:szCs w:val="20"/>
                <w:color w:val="auto"/>
              </w:rPr>
            </w:pPr>
            <w:r>
              <w:rPr>
                <w:rFonts w:ascii="Arial" w:cs="Arial" w:eastAsia="Arial" w:hAnsi="Arial"/>
                <w:sz w:val="9"/>
                <w:szCs w:val="9"/>
                <w:b w:val="1"/>
                <w:bCs w:val="1"/>
                <w:color w:val="auto"/>
              </w:rPr>
              <w:t>Shares</w:t>
            </w:r>
          </w:p>
        </w:tc>
        <w:tc>
          <w:tcPr>
            <w:tcW w:w="620" w:type="dxa"/>
            <w:vAlign w:val="bottom"/>
            <w:tcBorders>
              <w:bottom w:val="single" w:sz="8" w:color="auto"/>
            </w:tcBorders>
            <w:gridSpan w:val="2"/>
          </w:tcPr>
          <w:p>
            <w:pPr>
              <w:jc w:val="right"/>
              <w:ind w:right="118"/>
              <w:spacing w:after="0" w:line="88" w:lineRule="exact"/>
              <w:rPr>
                <w:sz w:val="20"/>
                <w:szCs w:val="20"/>
                <w:color w:val="auto"/>
              </w:rPr>
            </w:pPr>
            <w:r>
              <w:rPr>
                <w:rFonts w:ascii="Arial" w:cs="Arial" w:eastAsia="Arial" w:hAnsi="Arial"/>
                <w:sz w:val="9"/>
                <w:szCs w:val="9"/>
                <w:b w:val="1"/>
                <w:bCs w:val="1"/>
                <w:color w:val="auto"/>
              </w:rPr>
              <w:t>Amount</w:t>
            </w:r>
          </w:p>
        </w:tc>
        <w:tc>
          <w:tcPr>
            <w:tcW w:w="600" w:type="dxa"/>
            <w:vAlign w:val="bottom"/>
            <w:tcBorders>
              <w:bottom w:val="single" w:sz="8" w:color="auto"/>
            </w:tcBorders>
          </w:tcPr>
          <w:p>
            <w:pPr>
              <w:jc w:val="right"/>
              <w:ind w:right="177"/>
              <w:spacing w:after="0" w:line="88" w:lineRule="exact"/>
              <w:rPr>
                <w:sz w:val="20"/>
                <w:szCs w:val="20"/>
                <w:color w:val="auto"/>
              </w:rPr>
            </w:pPr>
            <w:r>
              <w:rPr>
                <w:rFonts w:ascii="Arial" w:cs="Arial" w:eastAsia="Arial" w:hAnsi="Arial"/>
                <w:sz w:val="9"/>
                <w:szCs w:val="9"/>
                <w:b w:val="1"/>
                <w:bCs w:val="1"/>
                <w:color w:val="auto"/>
              </w:rPr>
              <w:t>Shares</w:t>
            </w:r>
          </w:p>
        </w:tc>
        <w:tc>
          <w:tcPr>
            <w:tcW w:w="600" w:type="dxa"/>
            <w:vAlign w:val="bottom"/>
            <w:tcBorders>
              <w:bottom w:val="single" w:sz="8" w:color="auto"/>
              <w:right w:val="single" w:sz="8" w:color="auto"/>
            </w:tcBorders>
            <w:gridSpan w:val="2"/>
          </w:tcPr>
          <w:p>
            <w:pPr>
              <w:jc w:val="right"/>
              <w:ind w:right="117"/>
              <w:spacing w:after="0" w:line="88" w:lineRule="exact"/>
              <w:rPr>
                <w:sz w:val="20"/>
                <w:szCs w:val="20"/>
                <w:color w:val="auto"/>
              </w:rPr>
            </w:pPr>
            <w:r>
              <w:rPr>
                <w:rFonts w:ascii="Arial" w:cs="Arial" w:eastAsia="Arial" w:hAnsi="Arial"/>
                <w:sz w:val="9"/>
                <w:szCs w:val="9"/>
                <w:b w:val="1"/>
                <w:bCs w:val="1"/>
                <w:color w:val="auto"/>
              </w:rPr>
              <w:t>Amount</w:t>
            </w:r>
          </w:p>
        </w:tc>
        <w:tc>
          <w:tcPr>
            <w:tcW w:w="520" w:type="dxa"/>
            <w:vAlign w:val="bottom"/>
            <w:tcBorders>
              <w:bottom w:val="single" w:sz="8" w:color="auto"/>
            </w:tcBorders>
          </w:tcPr>
          <w:p>
            <w:pPr>
              <w:jc w:val="right"/>
              <w:ind w:right="117"/>
              <w:spacing w:after="0" w:line="88" w:lineRule="exact"/>
              <w:rPr>
                <w:sz w:val="20"/>
                <w:szCs w:val="20"/>
                <w:color w:val="auto"/>
              </w:rPr>
            </w:pPr>
            <w:r>
              <w:rPr>
                <w:rFonts w:ascii="Arial" w:cs="Arial" w:eastAsia="Arial" w:hAnsi="Arial"/>
                <w:sz w:val="9"/>
                <w:szCs w:val="9"/>
                <w:b w:val="1"/>
                <w:bCs w:val="1"/>
                <w:color w:val="auto"/>
              </w:rPr>
              <w:t>Shares</w:t>
            </w:r>
          </w:p>
        </w:tc>
        <w:tc>
          <w:tcPr>
            <w:tcW w:w="560" w:type="dxa"/>
            <w:vAlign w:val="bottom"/>
            <w:tcBorders>
              <w:bottom w:val="single" w:sz="8" w:color="auto"/>
            </w:tcBorders>
            <w:gridSpan w:val="2"/>
          </w:tcPr>
          <w:p>
            <w:pPr>
              <w:jc w:val="right"/>
              <w:ind w:right="97"/>
              <w:spacing w:after="0" w:line="88" w:lineRule="exact"/>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center"/>
              <w:ind w:right="77"/>
              <w:spacing w:after="0" w:line="88" w:lineRule="exact"/>
              <w:rPr>
                <w:sz w:val="20"/>
                <w:szCs w:val="20"/>
                <w:color w:val="auto"/>
              </w:rPr>
            </w:pPr>
            <w:r>
              <w:rPr>
                <w:rFonts w:ascii="Arial" w:cs="Arial" w:eastAsia="Arial" w:hAnsi="Arial"/>
                <w:sz w:val="9"/>
                <w:szCs w:val="9"/>
                <w:b w:val="1"/>
                <w:bCs w:val="1"/>
                <w:color w:val="auto"/>
                <w:w w:val="91"/>
              </w:rPr>
              <w:t>capital</w:t>
            </w: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center"/>
              <w:ind w:right="97"/>
              <w:spacing w:after="0" w:line="88" w:lineRule="exact"/>
              <w:rPr>
                <w:sz w:val="20"/>
                <w:szCs w:val="20"/>
                <w:color w:val="auto"/>
              </w:rPr>
            </w:pPr>
            <w:r>
              <w:rPr>
                <w:rFonts w:ascii="Arial" w:cs="Arial" w:eastAsia="Arial" w:hAnsi="Arial"/>
                <w:sz w:val="9"/>
                <w:szCs w:val="9"/>
                <w:b w:val="1"/>
                <w:bCs w:val="1"/>
                <w:color w:val="auto"/>
                <w:w w:val="97"/>
              </w:rPr>
              <w:t>deficit</w:t>
            </w:r>
          </w:p>
        </w:tc>
        <w:tc>
          <w:tcPr>
            <w:tcW w:w="700" w:type="dxa"/>
            <w:vAlign w:val="bottom"/>
            <w:tcBorders>
              <w:bottom w:val="single" w:sz="8" w:color="auto"/>
            </w:tcBorders>
            <w:gridSpan w:val="2"/>
          </w:tcPr>
          <w:p>
            <w:pPr>
              <w:jc w:val="center"/>
              <w:spacing w:after="0" w:line="88" w:lineRule="exact"/>
              <w:rPr>
                <w:sz w:val="20"/>
                <w:szCs w:val="20"/>
                <w:color w:val="auto"/>
              </w:rPr>
            </w:pPr>
            <w:r>
              <w:rPr>
                <w:rFonts w:ascii="Arial" w:cs="Arial" w:eastAsia="Arial" w:hAnsi="Arial"/>
                <w:sz w:val="9"/>
                <w:szCs w:val="9"/>
                <w:b w:val="1"/>
                <w:bCs w:val="1"/>
                <w:color w:val="auto"/>
                <w:w w:val="92"/>
              </w:rPr>
              <w:t>income (loss)</w:t>
            </w: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center"/>
              <w:ind w:right="157"/>
              <w:spacing w:after="0" w:line="88" w:lineRule="exact"/>
              <w:rPr>
                <w:sz w:val="20"/>
                <w:szCs w:val="20"/>
                <w:color w:val="auto"/>
              </w:rPr>
            </w:pPr>
            <w:r>
              <w:rPr>
                <w:rFonts w:ascii="Arial" w:cs="Arial" w:eastAsia="Arial" w:hAnsi="Arial"/>
                <w:sz w:val="9"/>
                <w:szCs w:val="9"/>
                <w:b w:val="1"/>
                <w:bCs w:val="1"/>
                <w:color w:val="auto"/>
                <w:w w:val="97"/>
              </w:rPr>
              <w:t>deficit</w:t>
            </w:r>
          </w:p>
        </w:tc>
        <w:tc>
          <w:tcPr>
            <w:tcW w:w="0" w:type="dxa"/>
            <w:vAlign w:val="bottom"/>
          </w:tcPr>
          <w:p>
            <w:pPr>
              <w:spacing w:after="0"/>
              <w:rPr>
                <w:sz w:val="1"/>
                <w:szCs w:val="1"/>
                <w:color w:val="auto"/>
              </w:rPr>
            </w:pPr>
          </w:p>
        </w:tc>
      </w:tr>
      <w:tr>
        <w:trPr>
          <w:trHeight w:val="77"/>
        </w:trPr>
        <w:tc>
          <w:tcPr>
            <w:tcW w:w="1780" w:type="dxa"/>
            <w:vAlign w:val="bottom"/>
            <w:shd w:val="clear" w:color="auto" w:fill="CFF0FC"/>
          </w:tcPr>
          <w:p>
            <w:pPr>
              <w:spacing w:after="0" w:line="77" w:lineRule="exact"/>
              <w:rPr>
                <w:sz w:val="20"/>
                <w:szCs w:val="20"/>
                <w:color w:val="auto"/>
              </w:rPr>
            </w:pPr>
            <w:r>
              <w:rPr>
                <w:rFonts w:ascii="Arial" w:cs="Arial" w:eastAsia="Arial" w:hAnsi="Arial"/>
                <w:sz w:val="8"/>
                <w:szCs w:val="8"/>
                <w:b w:val="1"/>
                <w:bCs w:val="1"/>
                <w:color w:val="auto"/>
              </w:rPr>
              <w:t>Balance as of January 1, 2025</w:t>
            </w:r>
          </w:p>
        </w:tc>
        <w:tc>
          <w:tcPr>
            <w:tcW w:w="60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45,414,6</w:t>
            </w:r>
          </w:p>
        </w:tc>
        <w:tc>
          <w:tcPr>
            <w:tcW w:w="200" w:type="dxa"/>
            <w:vAlign w:val="bottom"/>
            <w:shd w:val="clear" w:color="auto" w:fill="CFF0FC"/>
          </w:tcPr>
          <w:p>
            <w:pPr>
              <w:spacing w:after="0"/>
              <w:rPr>
                <w:sz w:val="6"/>
                <w:szCs w:val="6"/>
                <w:color w:val="auto"/>
              </w:rPr>
            </w:pPr>
          </w:p>
        </w:tc>
        <w:tc>
          <w:tcPr>
            <w:tcW w:w="42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223,86</w:t>
            </w:r>
          </w:p>
        </w:tc>
        <w:tc>
          <w:tcPr>
            <w:tcW w:w="56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26,601,</w:t>
            </w:r>
          </w:p>
        </w:tc>
        <w:tc>
          <w:tcPr>
            <w:tcW w:w="200" w:type="dxa"/>
            <w:vAlign w:val="bottom"/>
            <w:shd w:val="clear" w:color="auto" w:fill="CFF0FC"/>
          </w:tcPr>
          <w:p>
            <w:pPr>
              <w:spacing w:after="0"/>
              <w:rPr>
                <w:sz w:val="6"/>
                <w:szCs w:val="6"/>
                <w:color w:val="auto"/>
              </w:rPr>
            </w:pPr>
          </w:p>
        </w:tc>
        <w:tc>
          <w:tcPr>
            <w:tcW w:w="400" w:type="dxa"/>
            <w:vAlign w:val="bottom"/>
            <w:shd w:val="clear" w:color="auto" w:fill="CFF0FC"/>
          </w:tcPr>
          <w:p>
            <w:pPr>
              <w:jc w:val="right"/>
              <w:ind w:right="58"/>
              <w:spacing w:after="0" w:line="77" w:lineRule="exact"/>
              <w:rPr>
                <w:sz w:val="20"/>
                <w:szCs w:val="20"/>
                <w:color w:val="auto"/>
              </w:rPr>
            </w:pPr>
            <w:r>
              <w:rPr>
                <w:rFonts w:ascii="Arial" w:cs="Arial" w:eastAsia="Arial" w:hAnsi="Arial"/>
                <w:sz w:val="8"/>
                <w:szCs w:val="8"/>
                <w:color w:val="auto"/>
              </w:rPr>
              <w:t>167,76</w:t>
            </w:r>
          </w:p>
        </w:tc>
        <w:tc>
          <w:tcPr>
            <w:tcW w:w="58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24,901,</w:t>
            </w:r>
          </w:p>
        </w:tc>
        <w:tc>
          <w:tcPr>
            <w:tcW w:w="200" w:type="dxa"/>
            <w:vAlign w:val="bottom"/>
            <w:shd w:val="clear" w:color="auto" w:fill="CFF0FC"/>
          </w:tcPr>
          <w:p>
            <w:pPr>
              <w:spacing w:after="0"/>
              <w:rPr>
                <w:sz w:val="6"/>
                <w:szCs w:val="6"/>
                <w:color w:val="auto"/>
              </w:rPr>
            </w:pPr>
          </w:p>
        </w:tc>
        <w:tc>
          <w:tcPr>
            <w:tcW w:w="42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123,25</w:t>
            </w:r>
          </w:p>
        </w:tc>
        <w:tc>
          <w:tcPr>
            <w:tcW w:w="6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240" w:type="dxa"/>
            <w:vAlign w:val="bottom"/>
            <w:tcBorders>
              <w:right w:val="single" w:sz="8" w:color="auto"/>
            </w:tcBorders>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82</w:t>
            </w:r>
          </w:p>
        </w:tc>
        <w:tc>
          <w:tcPr>
            <w:tcW w:w="20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9</w:t>
            </w:r>
          </w:p>
        </w:tc>
        <w:tc>
          <w:tcPr>
            <w:tcW w:w="56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360</w:t>
            </w:r>
          </w:p>
        </w:tc>
        <w:tc>
          <w:tcPr>
            <w:tcW w:w="20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FF0FC"/>
          </w:tcPr>
          <w:p>
            <w:pPr>
              <w:jc w:val="right"/>
              <w:ind w:right="58"/>
              <w:spacing w:after="0"/>
              <w:rPr>
                <w:sz w:val="20"/>
                <w:szCs w:val="20"/>
                <w:color w:val="auto"/>
              </w:rPr>
            </w:pPr>
            <w:r>
              <w:rPr>
                <w:rFonts w:ascii="Arial" w:cs="Arial" w:eastAsia="Arial" w:hAnsi="Arial"/>
                <w:sz w:val="9"/>
                <w:szCs w:val="9"/>
                <w:color w:val="auto"/>
              </w:rPr>
              <w:t>5</w:t>
            </w:r>
          </w:p>
        </w:tc>
        <w:tc>
          <w:tcPr>
            <w:tcW w:w="58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598</w:t>
            </w:r>
          </w:p>
        </w:tc>
        <w:tc>
          <w:tcPr>
            <w:tcW w:w="20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9</w:t>
            </w:r>
          </w:p>
        </w:tc>
        <w:tc>
          <w:tcPr>
            <w:tcW w:w="60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360" w:type="dxa"/>
            <w:vAlign w:val="bottom"/>
            <w:shd w:val="clear" w:color="auto" w:fill="CFF0FC"/>
          </w:tcPr>
          <w:p>
            <w:pPr>
              <w:jc w:val="right"/>
              <w:ind w:right="178"/>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8,611,967</w:t>
            </w: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9"/>
                <w:szCs w:val="9"/>
                <w:color w:val="auto"/>
              </w:rPr>
              <w:t>1</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38,305</w:t>
            </w:r>
          </w:p>
        </w:tc>
        <w:tc>
          <w:tcPr>
            <w:tcW w:w="140" w:type="dxa"/>
            <w:vAlign w:val="bottom"/>
            <w:shd w:val="clear" w:color="auto" w:fill="CFF0FC"/>
          </w:tcPr>
          <w:p>
            <w:pPr>
              <w:ind w:left="60"/>
              <w:spacing w:after="0"/>
              <w:rPr>
                <w:sz w:val="20"/>
                <w:szCs w:val="20"/>
                <w:color w:val="auto"/>
              </w:rPr>
            </w:pPr>
            <w:r>
              <w:rPr>
                <w:rFonts w:ascii="Arial" w:cs="Arial" w:eastAsia="Arial" w:hAnsi="Arial"/>
                <w:sz w:val="9"/>
                <w:szCs w:val="9"/>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(419,492)</w:t>
            </w:r>
          </w:p>
        </w:tc>
        <w:tc>
          <w:tcPr>
            <w:tcW w:w="160" w:type="dxa"/>
            <w:vAlign w:val="bottom"/>
            <w:shd w:val="clear" w:color="auto" w:fill="CFF0FC"/>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(1,341)</w:t>
            </w:r>
          </w:p>
        </w:tc>
        <w:tc>
          <w:tcPr>
            <w:tcW w:w="120" w:type="dxa"/>
            <w:vAlign w:val="bottom"/>
            <w:shd w:val="clear" w:color="auto" w:fill="CFF0FC"/>
          </w:tcPr>
          <w:p>
            <w:pPr>
              <w:ind w:left="20"/>
              <w:spacing w:after="0"/>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37"/>
              <w:spacing w:after="0"/>
              <w:rPr>
                <w:sz w:val="20"/>
                <w:szCs w:val="20"/>
                <w:color w:val="auto"/>
              </w:rPr>
            </w:pPr>
            <w:r>
              <w:rPr>
                <w:rFonts w:ascii="Arial" w:cs="Arial" w:eastAsia="Arial" w:hAnsi="Arial"/>
                <w:sz w:val="9"/>
                <w:szCs w:val="9"/>
                <w:color w:val="auto"/>
              </w:rPr>
              <w:t>(382,527)</w:t>
            </w:r>
          </w:p>
        </w:tc>
        <w:tc>
          <w:tcPr>
            <w:tcW w:w="0" w:type="dxa"/>
            <w:vAlign w:val="bottom"/>
          </w:tcPr>
          <w:p>
            <w:pPr>
              <w:spacing w:after="0"/>
              <w:rPr>
                <w:sz w:val="1"/>
                <w:szCs w:val="1"/>
                <w:color w:val="auto"/>
              </w:rPr>
            </w:pPr>
          </w:p>
        </w:tc>
      </w:tr>
      <w:tr>
        <w:trPr>
          <w:trHeight w:val="97"/>
        </w:trPr>
        <w:tc>
          <w:tcPr>
            <w:tcW w:w="1780" w:type="dxa"/>
            <w:vAlign w:val="bottom"/>
          </w:tcPr>
          <w:p>
            <w:pPr>
              <w:spacing w:after="0" w:line="97" w:lineRule="exact"/>
              <w:rPr>
                <w:sz w:val="20"/>
                <w:szCs w:val="20"/>
                <w:color w:val="auto"/>
              </w:rPr>
            </w:pPr>
            <w:r>
              <w:rPr>
                <w:rFonts w:ascii="Arial" w:cs="Arial" w:eastAsia="Arial" w:hAnsi="Arial"/>
                <w:sz w:val="9"/>
                <w:szCs w:val="9"/>
                <w:color w:val="auto"/>
              </w:rPr>
              <w:t>Exercises of common stock options</w:t>
            </w:r>
          </w:p>
        </w:tc>
        <w:tc>
          <w:tcPr>
            <w:tcW w:w="60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240" w:type="dxa"/>
            <w:vAlign w:val="bottom"/>
            <w:tcBorders>
              <w:right w:val="single" w:sz="8" w:color="auto"/>
            </w:tcBorders>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line="97" w:lineRule="exact"/>
              <w:rPr>
                <w:sz w:val="20"/>
                <w:szCs w:val="20"/>
                <w:color w:val="auto"/>
              </w:rPr>
            </w:pPr>
            <w:r>
              <w:rPr>
                <w:rFonts w:ascii="Arial" w:cs="Arial" w:eastAsia="Arial" w:hAnsi="Arial"/>
                <w:sz w:val="9"/>
                <w:szCs w:val="9"/>
                <w:color w:val="auto"/>
              </w:rPr>
              <w:t>5,339,322</w:t>
            </w:r>
          </w:p>
        </w:tc>
        <w:tc>
          <w:tcPr>
            <w:tcW w:w="320" w:type="dxa"/>
            <w:vAlign w:val="bottom"/>
          </w:tcPr>
          <w:p>
            <w:pPr>
              <w:spacing w:after="0"/>
              <w:rPr>
                <w:sz w:val="8"/>
                <w:szCs w:val="8"/>
                <w:color w:val="auto"/>
              </w:rPr>
            </w:pPr>
          </w:p>
        </w:tc>
        <w:tc>
          <w:tcPr>
            <w:tcW w:w="240" w:type="dxa"/>
            <w:vAlign w:val="bottom"/>
          </w:tcPr>
          <w:p>
            <w:pPr>
              <w:jc w:val="right"/>
              <w:ind w:right="57"/>
              <w:spacing w:after="0" w:line="97"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580" w:type="dxa"/>
            <w:vAlign w:val="bottom"/>
          </w:tcPr>
          <w:p>
            <w:pPr>
              <w:jc w:val="right"/>
              <w:ind w:right="17"/>
              <w:spacing w:after="0" w:line="97" w:lineRule="exact"/>
              <w:rPr>
                <w:sz w:val="20"/>
                <w:szCs w:val="20"/>
                <w:color w:val="auto"/>
              </w:rPr>
            </w:pPr>
            <w:r>
              <w:rPr>
                <w:rFonts w:ascii="Arial" w:cs="Arial" w:eastAsia="Arial" w:hAnsi="Arial"/>
                <w:sz w:val="9"/>
                <w:szCs w:val="9"/>
                <w:color w:val="auto"/>
              </w:rPr>
              <w:t>3,114</w:t>
            </w:r>
          </w:p>
        </w:tc>
        <w:tc>
          <w:tcPr>
            <w:tcW w:w="140" w:type="dxa"/>
            <w:vAlign w:val="bottom"/>
          </w:tcPr>
          <w:p>
            <w:pPr>
              <w:spacing w:after="0"/>
              <w:rPr>
                <w:sz w:val="8"/>
                <w:szCs w:val="8"/>
                <w:color w:val="auto"/>
              </w:rPr>
            </w:pPr>
          </w:p>
        </w:tc>
        <w:tc>
          <w:tcPr>
            <w:tcW w:w="4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80" w:type="dxa"/>
            <w:vAlign w:val="bottom"/>
          </w:tcPr>
          <w:p>
            <w:pPr>
              <w:jc w:val="right"/>
              <w:ind w:right="77"/>
              <w:spacing w:after="0" w:line="97" w:lineRule="exact"/>
              <w:rPr>
                <w:sz w:val="20"/>
                <w:szCs w:val="20"/>
                <w:color w:val="auto"/>
              </w:rPr>
            </w:pPr>
            <w:r>
              <w:rPr>
                <w:rFonts w:ascii="Arial" w:cs="Arial" w:eastAsia="Arial" w:hAnsi="Arial"/>
                <w:sz w:val="9"/>
                <w:szCs w:val="9"/>
                <w:color w:val="auto"/>
              </w:rPr>
              <w:t>3,115</w:t>
            </w:r>
          </w:p>
        </w:tc>
        <w:tc>
          <w:tcPr>
            <w:tcW w:w="0" w:type="dxa"/>
            <w:vAlign w:val="bottom"/>
          </w:tcPr>
          <w:p>
            <w:pPr>
              <w:spacing w:after="0"/>
              <w:rPr>
                <w:sz w:val="1"/>
                <w:szCs w:val="1"/>
                <w:color w:val="auto"/>
              </w:rPr>
            </w:pPr>
          </w:p>
        </w:tc>
      </w:tr>
      <w:tr>
        <w:trPr>
          <w:trHeight w:val="97"/>
        </w:trPr>
        <w:tc>
          <w:tcPr>
            <w:tcW w:w="1780" w:type="dxa"/>
            <w:vAlign w:val="bottom"/>
            <w:shd w:val="clear" w:color="auto" w:fill="CFF0FC"/>
          </w:tcPr>
          <w:p>
            <w:pPr>
              <w:spacing w:after="0" w:line="97" w:lineRule="exact"/>
              <w:rPr>
                <w:sz w:val="20"/>
                <w:szCs w:val="20"/>
                <w:color w:val="auto"/>
              </w:rPr>
            </w:pPr>
            <w:r>
              <w:rPr>
                <w:rFonts w:ascii="Arial" w:cs="Arial" w:eastAsia="Arial" w:hAnsi="Arial"/>
                <w:sz w:val="9"/>
                <w:szCs w:val="9"/>
                <w:color w:val="auto"/>
              </w:rPr>
              <w:t>Vesting of restricted common stock</w:t>
            </w:r>
          </w:p>
        </w:tc>
        <w:tc>
          <w:tcPr>
            <w:tcW w:w="60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310,506</w:t>
            </w:r>
          </w:p>
        </w:tc>
        <w:tc>
          <w:tcPr>
            <w:tcW w:w="320" w:type="dxa"/>
            <w:vAlign w:val="bottom"/>
            <w:shd w:val="clear" w:color="auto" w:fill="CFF0FC"/>
          </w:tcPr>
          <w:p>
            <w:pPr>
              <w:spacing w:after="0"/>
              <w:rPr>
                <w:sz w:val="8"/>
                <w:szCs w:val="8"/>
                <w:color w:val="auto"/>
              </w:rPr>
            </w:pPr>
          </w:p>
        </w:tc>
        <w:tc>
          <w:tcPr>
            <w:tcW w:w="240" w:type="dxa"/>
            <w:vAlign w:val="bottom"/>
            <w:shd w:val="clear" w:color="auto" w:fill="CFF0FC"/>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7"/>
        </w:trPr>
        <w:tc>
          <w:tcPr>
            <w:tcW w:w="1780" w:type="dxa"/>
            <w:vAlign w:val="bottom"/>
          </w:tcPr>
          <w:p>
            <w:pPr>
              <w:spacing w:after="0" w:line="97" w:lineRule="exact"/>
              <w:rPr>
                <w:sz w:val="20"/>
                <w:szCs w:val="20"/>
                <w:color w:val="auto"/>
              </w:rPr>
            </w:pPr>
            <w:r>
              <w:rPr>
                <w:rFonts w:ascii="Arial" w:cs="Arial" w:eastAsia="Arial" w:hAnsi="Arial"/>
                <w:sz w:val="9"/>
                <w:szCs w:val="9"/>
                <w:color w:val="auto"/>
              </w:rPr>
              <w:t>Stock-based compensation expense</w:t>
            </w:r>
          </w:p>
        </w:tc>
        <w:tc>
          <w:tcPr>
            <w:tcW w:w="60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240" w:type="dxa"/>
            <w:vAlign w:val="bottom"/>
            <w:tcBorders>
              <w:right w:val="single" w:sz="8" w:color="auto"/>
            </w:tcBorders>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240" w:type="dxa"/>
            <w:vAlign w:val="bottom"/>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tcPr>
          <w:p>
            <w:pPr>
              <w:jc w:val="right"/>
              <w:ind w:right="17"/>
              <w:spacing w:after="0" w:line="97" w:lineRule="exact"/>
              <w:rPr>
                <w:sz w:val="20"/>
                <w:szCs w:val="20"/>
                <w:color w:val="auto"/>
              </w:rPr>
            </w:pPr>
            <w:r>
              <w:rPr>
                <w:rFonts w:ascii="Arial" w:cs="Arial" w:eastAsia="Arial" w:hAnsi="Arial"/>
                <w:sz w:val="9"/>
                <w:szCs w:val="9"/>
                <w:color w:val="auto"/>
              </w:rPr>
              <w:t>14,322</w:t>
            </w:r>
          </w:p>
        </w:tc>
        <w:tc>
          <w:tcPr>
            <w:tcW w:w="140" w:type="dxa"/>
            <w:vAlign w:val="bottom"/>
          </w:tcPr>
          <w:p>
            <w:pPr>
              <w:spacing w:after="0"/>
              <w:rPr>
                <w:sz w:val="8"/>
                <w:szCs w:val="8"/>
                <w:color w:val="auto"/>
              </w:rPr>
            </w:pPr>
          </w:p>
        </w:tc>
        <w:tc>
          <w:tcPr>
            <w:tcW w:w="4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80" w:type="dxa"/>
            <w:vAlign w:val="bottom"/>
          </w:tcPr>
          <w:p>
            <w:pPr>
              <w:jc w:val="right"/>
              <w:ind w:right="77"/>
              <w:spacing w:after="0" w:line="97" w:lineRule="exact"/>
              <w:rPr>
                <w:sz w:val="20"/>
                <w:szCs w:val="20"/>
                <w:color w:val="auto"/>
              </w:rPr>
            </w:pPr>
            <w:r>
              <w:rPr>
                <w:rFonts w:ascii="Arial" w:cs="Arial" w:eastAsia="Arial" w:hAnsi="Arial"/>
                <w:sz w:val="9"/>
                <w:szCs w:val="9"/>
                <w:color w:val="auto"/>
              </w:rPr>
              <w:t>14,322</w:t>
            </w:r>
          </w:p>
        </w:tc>
        <w:tc>
          <w:tcPr>
            <w:tcW w:w="0" w:type="dxa"/>
            <w:vAlign w:val="bottom"/>
          </w:tcPr>
          <w:p>
            <w:pPr>
              <w:spacing w:after="0"/>
              <w:rPr>
                <w:sz w:val="1"/>
                <w:szCs w:val="1"/>
                <w:color w:val="auto"/>
              </w:rPr>
            </w:pPr>
          </w:p>
        </w:tc>
      </w:tr>
      <w:tr>
        <w:trPr>
          <w:trHeight w:val="86"/>
        </w:trPr>
        <w:tc>
          <w:tcPr>
            <w:tcW w:w="1780" w:type="dxa"/>
            <w:vAlign w:val="bottom"/>
            <w:shd w:val="clear" w:color="auto" w:fill="CFF0FC"/>
          </w:tcPr>
          <w:p>
            <w:pPr>
              <w:spacing w:after="0" w:line="86" w:lineRule="exact"/>
              <w:rPr>
                <w:sz w:val="20"/>
                <w:szCs w:val="20"/>
                <w:color w:val="auto"/>
              </w:rPr>
            </w:pPr>
            <w:r>
              <w:rPr>
                <w:rFonts w:ascii="Arial" w:cs="Arial" w:eastAsia="Arial" w:hAnsi="Arial"/>
                <w:sz w:val="9"/>
                <w:szCs w:val="9"/>
                <w:color w:val="auto"/>
              </w:rPr>
              <w:t>Issuance of Series D convertible preferred</w:t>
            </w:r>
          </w:p>
        </w:tc>
        <w:tc>
          <w:tcPr>
            <w:tcW w:w="6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40" w:type="dxa"/>
            <w:vAlign w:val="bottom"/>
            <w:tcBorders>
              <w:right w:val="single" w:sz="8" w:color="auto"/>
            </w:tcBorders>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780" w:type="dxa"/>
            <w:vAlign w:val="bottom"/>
            <w:shd w:val="clear" w:color="auto" w:fill="CFF0FC"/>
          </w:tcPr>
          <w:p>
            <w:pPr>
              <w:spacing w:after="0" w:line="97" w:lineRule="exact"/>
              <w:rPr>
                <w:sz w:val="20"/>
                <w:szCs w:val="20"/>
                <w:color w:val="auto"/>
              </w:rPr>
            </w:pPr>
            <w:r>
              <w:rPr>
                <w:rFonts w:ascii="Arial" w:cs="Arial" w:eastAsia="Arial" w:hAnsi="Arial"/>
                <w:sz w:val="9"/>
                <w:szCs w:val="9"/>
                <w:color w:val="auto"/>
              </w:rPr>
              <w:t>stock and common stock warrants, net of</w:t>
            </w:r>
          </w:p>
        </w:tc>
        <w:tc>
          <w:tcPr>
            <w:tcW w:w="6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141,950,</w:t>
            </w:r>
          </w:p>
        </w:tc>
        <w:tc>
          <w:tcPr>
            <w:tcW w:w="600" w:type="dxa"/>
            <w:vAlign w:val="bottom"/>
            <w:tcBorders>
              <w:right w:val="single" w:sz="8" w:color="auto"/>
            </w:tcBorders>
            <w:gridSpan w:val="2"/>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196,03</w:t>
            </w:r>
          </w:p>
        </w:tc>
        <w:tc>
          <w:tcPr>
            <w:tcW w:w="5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CFF0FC"/>
          </w:tcPr>
          <w:p>
            <w:pPr>
              <w:spacing w:after="0"/>
              <w:rPr>
                <w:sz w:val="20"/>
                <w:szCs w:val="20"/>
                <w:color w:val="auto"/>
              </w:rPr>
            </w:pPr>
            <w:r>
              <w:rPr>
                <w:rFonts w:ascii="Arial" w:cs="Arial" w:eastAsia="Arial" w:hAnsi="Arial"/>
                <w:sz w:val="9"/>
                <w:szCs w:val="9"/>
                <w:color w:val="auto"/>
              </w:rPr>
              <w:t>issuance costs of $1,172</w:t>
            </w:r>
          </w:p>
        </w:tc>
        <w:tc>
          <w:tcPr>
            <w:tcW w:w="60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56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58"/>
              <w:spacing w:after="0"/>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377</w:t>
            </w:r>
          </w:p>
        </w:tc>
        <w:tc>
          <w:tcPr>
            <w:tcW w:w="36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jc w:val="right"/>
              <w:ind w:right="77"/>
              <w:spacing w:after="0"/>
              <w:rPr>
                <w:sz w:val="20"/>
                <w:szCs w:val="20"/>
                <w:color w:val="auto"/>
              </w:rPr>
            </w:pPr>
            <w:r>
              <w:rPr>
                <w:rFonts w:ascii="Arial" w:cs="Arial" w:eastAsia="Arial" w:hAnsi="Arial"/>
                <w:sz w:val="9"/>
                <w:szCs w:val="9"/>
                <w:color w:val="auto"/>
              </w:rPr>
              <w:t>1</w:t>
            </w:r>
          </w:p>
        </w:tc>
        <w:tc>
          <w:tcPr>
            <w:tcW w:w="52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w:t>
            </w: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16,427</w:t>
            </w: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37"/>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16,427</w:t>
            </w:r>
          </w:p>
        </w:tc>
        <w:tc>
          <w:tcPr>
            <w:tcW w:w="0" w:type="dxa"/>
            <w:vAlign w:val="bottom"/>
          </w:tcPr>
          <w:p>
            <w:pPr>
              <w:spacing w:after="0"/>
              <w:rPr>
                <w:sz w:val="1"/>
                <w:szCs w:val="1"/>
                <w:color w:val="auto"/>
              </w:rPr>
            </w:pPr>
          </w:p>
        </w:tc>
      </w:tr>
      <w:tr>
        <w:trPr>
          <w:trHeight w:val="86"/>
        </w:trPr>
        <w:tc>
          <w:tcPr>
            <w:tcW w:w="1780" w:type="dxa"/>
            <w:vAlign w:val="bottom"/>
          </w:tcPr>
          <w:p>
            <w:pPr>
              <w:spacing w:after="0" w:line="86" w:lineRule="exact"/>
              <w:rPr>
                <w:sz w:val="20"/>
                <w:szCs w:val="20"/>
                <w:color w:val="auto"/>
              </w:rPr>
            </w:pPr>
            <w:r>
              <w:rPr>
                <w:rFonts w:ascii="Arial" w:cs="Arial" w:eastAsia="Arial" w:hAnsi="Arial"/>
                <w:sz w:val="9"/>
                <w:szCs w:val="9"/>
                <w:color w:val="auto"/>
              </w:rPr>
              <w:t>Conversion of preferred stock into common</w:t>
            </w:r>
          </w:p>
        </w:tc>
        <w:tc>
          <w:tcPr>
            <w:tcW w:w="600" w:type="dxa"/>
            <w:vAlign w:val="bottom"/>
          </w:tcPr>
          <w:p>
            <w:pPr>
              <w:jc w:val="right"/>
              <w:ind w:right="78"/>
              <w:spacing w:after="0" w:line="86" w:lineRule="exact"/>
              <w:rPr>
                <w:sz w:val="20"/>
                <w:szCs w:val="20"/>
                <w:color w:val="auto"/>
              </w:rPr>
            </w:pPr>
            <w:r>
              <w:rPr>
                <w:rFonts w:ascii="Arial" w:cs="Arial" w:eastAsia="Arial" w:hAnsi="Arial"/>
                <w:sz w:val="9"/>
                <w:szCs w:val="9"/>
                <w:color w:val="auto"/>
              </w:rPr>
              <w:t>(1,681,88</w:t>
            </w: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20"/>
                <w:szCs w:val="20"/>
                <w:color w:val="auto"/>
              </w:rPr>
            </w:pPr>
            <w:r>
              <w:rPr>
                <w:rFonts w:ascii="Arial" w:cs="Arial" w:eastAsia="Arial" w:hAnsi="Arial"/>
                <w:sz w:val="9"/>
                <w:szCs w:val="9"/>
                <w:color w:val="auto"/>
              </w:rPr>
              <w:t>stock</w:t>
            </w:r>
          </w:p>
        </w:tc>
        <w:tc>
          <w:tcPr>
            <w:tcW w:w="600" w:type="dxa"/>
            <w:vAlign w:val="bottom"/>
          </w:tcPr>
          <w:p>
            <w:pPr>
              <w:jc w:val="right"/>
              <w:ind w:right="38"/>
              <w:spacing w:after="0"/>
              <w:rPr>
                <w:sz w:val="20"/>
                <w:szCs w:val="20"/>
                <w:color w:val="auto"/>
              </w:rPr>
            </w:pPr>
            <w:r>
              <w:rPr>
                <w:rFonts w:ascii="Arial" w:cs="Arial" w:eastAsia="Arial" w:hAnsi="Arial"/>
                <w:sz w:val="9"/>
                <w:szCs w:val="9"/>
                <w:color w:val="auto"/>
              </w:rPr>
              <w:t>5)</w:t>
            </w:r>
          </w:p>
        </w:tc>
        <w:tc>
          <w:tcPr>
            <w:tcW w:w="200" w:type="dxa"/>
            <w:vAlign w:val="bottom"/>
          </w:tcPr>
          <w:p>
            <w:pPr>
              <w:spacing w:after="0"/>
              <w:rPr>
                <w:sz w:val="9"/>
                <w:szCs w:val="9"/>
                <w:color w:val="auto"/>
              </w:rPr>
            </w:pPr>
          </w:p>
        </w:tc>
        <w:tc>
          <w:tcPr>
            <w:tcW w:w="420" w:type="dxa"/>
            <w:vAlign w:val="bottom"/>
          </w:tcPr>
          <w:p>
            <w:pPr>
              <w:jc w:val="right"/>
              <w:ind w:right="38"/>
              <w:spacing w:after="0"/>
              <w:rPr>
                <w:sz w:val="20"/>
                <w:szCs w:val="20"/>
                <w:color w:val="auto"/>
              </w:rPr>
            </w:pPr>
            <w:r>
              <w:rPr>
                <w:rFonts w:ascii="Arial" w:cs="Arial" w:eastAsia="Arial" w:hAnsi="Arial"/>
                <w:sz w:val="9"/>
                <w:szCs w:val="9"/>
                <w:color w:val="auto"/>
              </w:rPr>
              <w:t>(7,366)</w:t>
            </w:r>
          </w:p>
        </w:tc>
        <w:tc>
          <w:tcPr>
            <w:tcW w:w="560" w:type="dxa"/>
            <w:vAlign w:val="bottom"/>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00" w:type="dxa"/>
            <w:vAlign w:val="bottom"/>
          </w:tcPr>
          <w:p>
            <w:pPr>
              <w:jc w:val="right"/>
              <w:ind w:right="58"/>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20" w:type="dxa"/>
            <w:vAlign w:val="bottom"/>
          </w:tcPr>
          <w:p>
            <w:pPr>
              <w:jc w:val="right"/>
              <w:ind w:right="78"/>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77"/>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9"/>
                <w:szCs w:val="9"/>
                <w:color w:val="auto"/>
              </w:rPr>
            </w:pPr>
          </w:p>
        </w:tc>
        <w:tc>
          <w:tcPr>
            <w:tcW w:w="240" w:type="dxa"/>
            <w:vAlign w:val="bottom"/>
            <w:tcBorders>
              <w:right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168,188</w:t>
            </w:r>
          </w:p>
        </w:tc>
        <w:tc>
          <w:tcPr>
            <w:tcW w:w="320" w:type="dxa"/>
            <w:vAlign w:val="bottom"/>
          </w:tcPr>
          <w:p>
            <w:pPr>
              <w:spacing w:after="0"/>
              <w:rPr>
                <w:sz w:val="9"/>
                <w:szCs w:val="9"/>
                <w:color w:val="auto"/>
              </w:rPr>
            </w:pPr>
          </w:p>
        </w:tc>
        <w:tc>
          <w:tcPr>
            <w:tcW w:w="24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7,373</w:t>
            </w:r>
          </w:p>
        </w:tc>
        <w:tc>
          <w:tcPr>
            <w:tcW w:w="140" w:type="dxa"/>
            <w:vAlign w:val="bottom"/>
          </w:tcPr>
          <w:p>
            <w:pPr>
              <w:spacing w:after="0"/>
              <w:rPr>
                <w:sz w:val="9"/>
                <w:szCs w:val="9"/>
                <w:color w:val="auto"/>
              </w:rPr>
            </w:pP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80" w:type="dxa"/>
            <w:vAlign w:val="bottom"/>
          </w:tcPr>
          <w:p>
            <w:pPr>
              <w:jc w:val="right"/>
              <w:ind w:right="77"/>
              <w:spacing w:after="0"/>
              <w:rPr>
                <w:sz w:val="20"/>
                <w:szCs w:val="20"/>
                <w:color w:val="auto"/>
              </w:rPr>
            </w:pPr>
            <w:r>
              <w:rPr>
                <w:rFonts w:ascii="Arial" w:cs="Arial" w:eastAsia="Arial" w:hAnsi="Arial"/>
                <w:sz w:val="9"/>
                <w:szCs w:val="9"/>
                <w:color w:val="auto"/>
              </w:rPr>
              <w:t>7,373</w:t>
            </w:r>
          </w:p>
        </w:tc>
        <w:tc>
          <w:tcPr>
            <w:tcW w:w="0" w:type="dxa"/>
            <w:vAlign w:val="bottom"/>
          </w:tcPr>
          <w:p>
            <w:pPr>
              <w:spacing w:after="0"/>
              <w:rPr>
                <w:sz w:val="1"/>
                <w:szCs w:val="1"/>
                <w:color w:val="auto"/>
              </w:rPr>
            </w:pPr>
          </w:p>
        </w:tc>
      </w:tr>
      <w:tr>
        <w:trPr>
          <w:trHeight w:val="97"/>
        </w:trPr>
        <w:tc>
          <w:tcPr>
            <w:tcW w:w="1780" w:type="dxa"/>
            <w:vAlign w:val="bottom"/>
            <w:shd w:val="clear" w:color="auto" w:fill="CFF0FC"/>
          </w:tcPr>
          <w:p>
            <w:pPr>
              <w:spacing w:after="0" w:line="97" w:lineRule="exact"/>
              <w:rPr>
                <w:sz w:val="20"/>
                <w:szCs w:val="20"/>
                <w:color w:val="auto"/>
              </w:rPr>
            </w:pPr>
            <w:r>
              <w:rPr>
                <w:rFonts w:ascii="Arial" w:cs="Arial" w:eastAsia="Arial" w:hAnsi="Arial"/>
                <w:sz w:val="9"/>
                <w:szCs w:val="9"/>
                <w:color w:val="auto"/>
              </w:rPr>
              <w:t>Exercise of common stock warrants</w:t>
            </w:r>
          </w:p>
        </w:tc>
        <w:tc>
          <w:tcPr>
            <w:tcW w:w="60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7,271,969</w:t>
            </w:r>
          </w:p>
        </w:tc>
        <w:tc>
          <w:tcPr>
            <w:tcW w:w="320" w:type="dxa"/>
            <w:vAlign w:val="bottom"/>
            <w:shd w:val="clear" w:color="auto" w:fill="CFF0FC"/>
          </w:tcPr>
          <w:p>
            <w:pPr>
              <w:spacing w:after="0"/>
              <w:rPr>
                <w:sz w:val="8"/>
                <w:szCs w:val="8"/>
                <w:color w:val="auto"/>
              </w:rPr>
            </w:pPr>
          </w:p>
        </w:tc>
        <w:tc>
          <w:tcPr>
            <w:tcW w:w="240" w:type="dxa"/>
            <w:vAlign w:val="bottom"/>
            <w:shd w:val="clear" w:color="auto" w:fill="CFF0FC"/>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73</w:t>
            </w: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97"/>
        </w:trPr>
        <w:tc>
          <w:tcPr>
            <w:tcW w:w="1780" w:type="dxa"/>
            <w:vAlign w:val="bottom"/>
          </w:tcPr>
          <w:p>
            <w:pPr>
              <w:spacing w:after="0" w:line="97" w:lineRule="exact"/>
              <w:rPr>
                <w:sz w:val="20"/>
                <w:szCs w:val="20"/>
                <w:color w:val="auto"/>
              </w:rPr>
            </w:pPr>
            <w:r>
              <w:rPr>
                <w:rFonts w:ascii="Arial" w:cs="Arial" w:eastAsia="Arial" w:hAnsi="Arial"/>
                <w:sz w:val="9"/>
                <w:szCs w:val="9"/>
                <w:color w:val="auto"/>
              </w:rPr>
              <w:t>Other comprehensive income, net</w:t>
            </w:r>
          </w:p>
        </w:tc>
        <w:tc>
          <w:tcPr>
            <w:tcW w:w="60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240" w:type="dxa"/>
            <w:vAlign w:val="bottom"/>
            <w:tcBorders>
              <w:right w:val="single" w:sz="8" w:color="auto"/>
            </w:tcBorders>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240" w:type="dxa"/>
            <w:vAlign w:val="bottom"/>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tcPr>
          <w:p>
            <w:pPr>
              <w:jc w:val="right"/>
              <w:ind w:right="37"/>
              <w:spacing w:after="0" w:line="97" w:lineRule="exact"/>
              <w:rPr>
                <w:sz w:val="20"/>
                <w:szCs w:val="20"/>
                <w:color w:val="auto"/>
              </w:rPr>
            </w:pPr>
            <w:r>
              <w:rPr>
                <w:rFonts w:ascii="Arial" w:cs="Arial" w:eastAsia="Arial" w:hAnsi="Arial"/>
                <w:sz w:val="9"/>
                <w:szCs w:val="9"/>
                <w:color w:val="auto"/>
              </w:rPr>
              <w:t>1,586</w:t>
            </w:r>
          </w:p>
        </w:tc>
        <w:tc>
          <w:tcPr>
            <w:tcW w:w="120" w:type="dxa"/>
            <w:vAlign w:val="bottom"/>
          </w:tcPr>
          <w:p>
            <w:pPr>
              <w:spacing w:after="0"/>
              <w:rPr>
                <w:sz w:val="8"/>
                <w:szCs w:val="8"/>
                <w:color w:val="auto"/>
              </w:rPr>
            </w:pPr>
          </w:p>
        </w:tc>
        <w:tc>
          <w:tcPr>
            <w:tcW w:w="580" w:type="dxa"/>
            <w:vAlign w:val="bottom"/>
          </w:tcPr>
          <w:p>
            <w:pPr>
              <w:jc w:val="right"/>
              <w:ind w:right="77"/>
              <w:spacing w:after="0" w:line="97" w:lineRule="exact"/>
              <w:rPr>
                <w:sz w:val="20"/>
                <w:szCs w:val="20"/>
                <w:color w:val="auto"/>
              </w:rPr>
            </w:pPr>
            <w:r>
              <w:rPr>
                <w:rFonts w:ascii="Arial" w:cs="Arial" w:eastAsia="Arial" w:hAnsi="Arial"/>
                <w:sz w:val="9"/>
                <w:szCs w:val="9"/>
                <w:color w:val="auto"/>
              </w:rPr>
              <w:t>1,586</w:t>
            </w:r>
          </w:p>
        </w:tc>
        <w:tc>
          <w:tcPr>
            <w:tcW w:w="0" w:type="dxa"/>
            <w:vAlign w:val="bottom"/>
          </w:tcPr>
          <w:p>
            <w:pPr>
              <w:spacing w:after="0"/>
              <w:rPr>
                <w:sz w:val="1"/>
                <w:szCs w:val="1"/>
                <w:color w:val="auto"/>
              </w:rPr>
            </w:pPr>
          </w:p>
        </w:tc>
      </w:tr>
      <w:tr>
        <w:trPr>
          <w:trHeight w:val="97"/>
        </w:trPr>
        <w:tc>
          <w:tcPr>
            <w:tcW w:w="1780" w:type="dxa"/>
            <w:vAlign w:val="bottom"/>
            <w:tcBorders>
              <w:bottom w:val="single" w:sz="8" w:color="auto"/>
            </w:tcBorders>
            <w:shd w:val="clear" w:color="auto" w:fill="CFF0FC"/>
          </w:tcPr>
          <w:p>
            <w:pPr>
              <w:spacing w:after="0" w:line="97" w:lineRule="exact"/>
              <w:rPr>
                <w:sz w:val="20"/>
                <w:szCs w:val="20"/>
                <w:color w:val="auto"/>
              </w:rPr>
            </w:pPr>
            <w:r>
              <w:rPr>
                <w:rFonts w:ascii="Arial" w:cs="Arial" w:eastAsia="Arial" w:hAnsi="Arial"/>
                <w:sz w:val="9"/>
                <w:szCs w:val="9"/>
                <w:color w:val="auto"/>
              </w:rPr>
              <w:t>Net loss</w:t>
            </w:r>
          </w:p>
        </w:tc>
        <w:tc>
          <w:tcPr>
            <w:tcW w:w="60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auto"/>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auto"/>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auto"/>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auto"/>
            </w:tcBorders>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shd w:val="clear" w:color="auto" w:fill="CFF0FC"/>
          </w:tcPr>
          <w:p>
            <w:pPr>
              <w:spacing w:after="0"/>
              <w:rPr>
                <w:sz w:val="8"/>
                <w:szCs w:val="8"/>
                <w:color w:val="auto"/>
              </w:rPr>
            </w:pPr>
          </w:p>
        </w:tc>
        <w:tc>
          <w:tcPr>
            <w:tcW w:w="240" w:type="dxa"/>
            <w:vAlign w:val="bottom"/>
            <w:tcBorders>
              <w:bottom w:val="single" w:sz="8" w:color="auto"/>
              <w:right w:val="single" w:sz="8" w:color="auto"/>
            </w:tcBorders>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shd w:val="clear" w:color="auto" w:fill="CFF0FC"/>
          </w:tcPr>
          <w:p>
            <w:pPr>
              <w:spacing w:after="0"/>
              <w:rPr>
                <w:sz w:val="8"/>
                <w:szCs w:val="8"/>
                <w:color w:val="auto"/>
              </w:rPr>
            </w:pPr>
          </w:p>
        </w:tc>
        <w:tc>
          <w:tcPr>
            <w:tcW w:w="580" w:type="dxa"/>
            <w:vAlign w:val="bottom"/>
            <w:tcBorders>
              <w:bottom w:val="single" w:sz="8" w:color="auto"/>
            </w:tcBorders>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FF0FC"/>
          </w:tcPr>
          <w:p>
            <w:pPr>
              <w:spacing w:after="0"/>
              <w:rPr>
                <w:sz w:val="8"/>
                <w:szCs w:val="8"/>
                <w:color w:val="auto"/>
              </w:rPr>
            </w:pPr>
          </w:p>
        </w:tc>
        <w:tc>
          <w:tcPr>
            <w:tcW w:w="48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9"/>
                <w:szCs w:val="9"/>
                <w:color w:val="auto"/>
              </w:rPr>
              <w:t>(148,647)</w:t>
            </w:r>
          </w:p>
        </w:tc>
        <w:tc>
          <w:tcPr>
            <w:tcW w:w="160" w:type="dxa"/>
            <w:vAlign w:val="bottom"/>
            <w:tcBorders>
              <w:bottom w:val="single" w:sz="8" w:color="auto"/>
            </w:tcBorders>
            <w:shd w:val="clear" w:color="auto" w:fill="CFF0FC"/>
          </w:tcPr>
          <w:p>
            <w:pPr>
              <w:spacing w:after="0"/>
              <w:rPr>
                <w:sz w:val="8"/>
                <w:szCs w:val="8"/>
                <w:color w:val="auto"/>
              </w:rPr>
            </w:pPr>
          </w:p>
        </w:tc>
        <w:tc>
          <w:tcPr>
            <w:tcW w:w="540" w:type="dxa"/>
            <w:vAlign w:val="bottom"/>
            <w:tcBorders>
              <w:bottom w:val="single" w:sz="8" w:color="auto"/>
            </w:tcBorders>
            <w:shd w:val="clear" w:color="auto" w:fill="CFF0FC"/>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FF0FC"/>
          </w:tcPr>
          <w:p>
            <w:pPr>
              <w:spacing w:after="0"/>
              <w:rPr>
                <w:sz w:val="8"/>
                <w:szCs w:val="8"/>
                <w:color w:val="auto"/>
              </w:rPr>
            </w:pPr>
          </w:p>
        </w:tc>
        <w:tc>
          <w:tcPr>
            <w:tcW w:w="580" w:type="dxa"/>
            <w:vAlign w:val="bottom"/>
            <w:tcBorders>
              <w:bottom w:val="single" w:sz="8" w:color="auto"/>
            </w:tcBorders>
            <w:shd w:val="clear" w:color="auto" w:fill="CFF0FC"/>
          </w:tcPr>
          <w:p>
            <w:pPr>
              <w:jc w:val="right"/>
              <w:ind w:right="37"/>
              <w:spacing w:after="0" w:line="97" w:lineRule="exact"/>
              <w:rPr>
                <w:sz w:val="20"/>
                <w:szCs w:val="20"/>
                <w:color w:val="auto"/>
              </w:rPr>
            </w:pPr>
            <w:r>
              <w:rPr>
                <w:rFonts w:ascii="Arial" w:cs="Arial" w:eastAsia="Arial" w:hAnsi="Arial"/>
                <w:sz w:val="9"/>
                <w:szCs w:val="9"/>
                <w:color w:val="auto"/>
              </w:rPr>
              <w:t>(148,647)</w:t>
            </w:r>
          </w:p>
        </w:tc>
        <w:tc>
          <w:tcPr>
            <w:tcW w:w="0" w:type="dxa"/>
            <w:vAlign w:val="bottom"/>
          </w:tcPr>
          <w:p>
            <w:pPr>
              <w:spacing w:after="0"/>
              <w:rPr>
                <w:sz w:val="1"/>
                <w:szCs w:val="1"/>
                <w:color w:val="auto"/>
              </w:rPr>
            </w:pPr>
          </w:p>
        </w:tc>
      </w:tr>
      <w:tr>
        <w:trPr>
          <w:trHeight w:val="77"/>
        </w:trPr>
        <w:tc>
          <w:tcPr>
            <w:tcW w:w="1780" w:type="dxa"/>
            <w:vAlign w:val="bottom"/>
          </w:tcPr>
          <w:p>
            <w:pPr>
              <w:spacing w:after="0" w:line="77" w:lineRule="exact"/>
              <w:rPr>
                <w:sz w:val="20"/>
                <w:szCs w:val="20"/>
                <w:color w:val="auto"/>
              </w:rPr>
            </w:pPr>
            <w:r>
              <w:rPr>
                <w:rFonts w:ascii="Arial" w:cs="Arial" w:eastAsia="Arial" w:hAnsi="Arial"/>
                <w:sz w:val="8"/>
                <w:szCs w:val="8"/>
                <w:b w:val="1"/>
                <w:bCs w:val="1"/>
                <w:color w:val="auto"/>
              </w:rPr>
              <w:t>Balance as of December 31, 2025</w:t>
            </w:r>
          </w:p>
        </w:tc>
        <w:tc>
          <w:tcPr>
            <w:tcW w:w="600" w:type="dxa"/>
            <w:vAlign w:val="bottom"/>
          </w:tcPr>
          <w:p>
            <w:pPr>
              <w:jc w:val="right"/>
              <w:ind w:right="78"/>
              <w:spacing w:after="0" w:line="77" w:lineRule="exact"/>
              <w:rPr>
                <w:sz w:val="20"/>
                <w:szCs w:val="20"/>
                <w:color w:val="auto"/>
              </w:rPr>
            </w:pPr>
            <w:r>
              <w:rPr>
                <w:rFonts w:ascii="Arial" w:cs="Arial" w:eastAsia="Arial" w:hAnsi="Arial"/>
                <w:sz w:val="8"/>
                <w:szCs w:val="8"/>
                <w:color w:val="auto"/>
              </w:rPr>
              <w:t>43,732,7</w:t>
            </w:r>
          </w:p>
        </w:tc>
        <w:tc>
          <w:tcPr>
            <w:tcW w:w="200" w:type="dxa"/>
            <w:vAlign w:val="bottom"/>
          </w:tcPr>
          <w:p>
            <w:pPr>
              <w:spacing w:after="0"/>
              <w:rPr>
                <w:sz w:val="6"/>
                <w:szCs w:val="6"/>
                <w:color w:val="auto"/>
              </w:rPr>
            </w:pPr>
          </w:p>
        </w:tc>
        <w:tc>
          <w:tcPr>
            <w:tcW w:w="420" w:type="dxa"/>
            <w:vAlign w:val="bottom"/>
          </w:tcPr>
          <w:p>
            <w:pPr>
              <w:jc w:val="right"/>
              <w:ind w:right="78"/>
              <w:spacing w:after="0" w:line="77" w:lineRule="exact"/>
              <w:rPr>
                <w:sz w:val="20"/>
                <w:szCs w:val="20"/>
                <w:color w:val="auto"/>
              </w:rPr>
            </w:pPr>
            <w:r>
              <w:rPr>
                <w:rFonts w:ascii="Arial" w:cs="Arial" w:eastAsia="Arial" w:hAnsi="Arial"/>
                <w:sz w:val="8"/>
                <w:szCs w:val="8"/>
                <w:color w:val="auto"/>
              </w:rPr>
              <w:t>216,50</w:t>
            </w:r>
          </w:p>
        </w:tc>
        <w:tc>
          <w:tcPr>
            <w:tcW w:w="560" w:type="dxa"/>
            <w:vAlign w:val="bottom"/>
          </w:tcPr>
          <w:p>
            <w:pPr>
              <w:jc w:val="right"/>
              <w:ind w:right="78"/>
              <w:spacing w:after="0" w:line="77" w:lineRule="exact"/>
              <w:rPr>
                <w:sz w:val="20"/>
                <w:szCs w:val="20"/>
                <w:color w:val="auto"/>
              </w:rPr>
            </w:pPr>
            <w:r>
              <w:rPr>
                <w:rFonts w:ascii="Arial" w:cs="Arial" w:eastAsia="Arial" w:hAnsi="Arial"/>
                <w:sz w:val="8"/>
                <w:szCs w:val="8"/>
                <w:color w:val="auto"/>
              </w:rPr>
              <w:t>26,601,</w:t>
            </w:r>
          </w:p>
        </w:tc>
        <w:tc>
          <w:tcPr>
            <w:tcW w:w="200" w:type="dxa"/>
            <w:vAlign w:val="bottom"/>
          </w:tcPr>
          <w:p>
            <w:pPr>
              <w:spacing w:after="0"/>
              <w:rPr>
                <w:sz w:val="6"/>
                <w:szCs w:val="6"/>
                <w:color w:val="auto"/>
              </w:rPr>
            </w:pPr>
          </w:p>
        </w:tc>
        <w:tc>
          <w:tcPr>
            <w:tcW w:w="400" w:type="dxa"/>
            <w:vAlign w:val="bottom"/>
          </w:tcPr>
          <w:p>
            <w:pPr>
              <w:jc w:val="right"/>
              <w:ind w:right="58"/>
              <w:spacing w:after="0" w:line="77" w:lineRule="exact"/>
              <w:rPr>
                <w:sz w:val="20"/>
                <w:szCs w:val="20"/>
                <w:color w:val="auto"/>
              </w:rPr>
            </w:pPr>
            <w:r>
              <w:rPr>
                <w:rFonts w:ascii="Arial" w:cs="Arial" w:eastAsia="Arial" w:hAnsi="Arial"/>
                <w:sz w:val="8"/>
                <w:szCs w:val="8"/>
                <w:color w:val="auto"/>
              </w:rPr>
              <w:t>167,76</w:t>
            </w:r>
          </w:p>
        </w:tc>
        <w:tc>
          <w:tcPr>
            <w:tcW w:w="580" w:type="dxa"/>
            <w:vAlign w:val="bottom"/>
          </w:tcPr>
          <w:p>
            <w:pPr>
              <w:jc w:val="right"/>
              <w:ind w:right="78"/>
              <w:spacing w:after="0" w:line="77" w:lineRule="exact"/>
              <w:rPr>
                <w:sz w:val="20"/>
                <w:szCs w:val="20"/>
                <w:color w:val="auto"/>
              </w:rPr>
            </w:pPr>
            <w:r>
              <w:rPr>
                <w:rFonts w:ascii="Arial" w:cs="Arial" w:eastAsia="Arial" w:hAnsi="Arial"/>
                <w:sz w:val="8"/>
                <w:szCs w:val="8"/>
                <w:color w:val="auto"/>
              </w:rPr>
              <w:t>24,901,</w:t>
            </w:r>
          </w:p>
        </w:tc>
        <w:tc>
          <w:tcPr>
            <w:tcW w:w="200" w:type="dxa"/>
            <w:vAlign w:val="bottom"/>
          </w:tcPr>
          <w:p>
            <w:pPr>
              <w:spacing w:after="0"/>
              <w:rPr>
                <w:sz w:val="6"/>
                <w:szCs w:val="6"/>
                <w:color w:val="auto"/>
              </w:rPr>
            </w:pPr>
          </w:p>
        </w:tc>
        <w:tc>
          <w:tcPr>
            <w:tcW w:w="420" w:type="dxa"/>
            <w:vAlign w:val="bottom"/>
          </w:tcPr>
          <w:p>
            <w:pPr>
              <w:jc w:val="right"/>
              <w:ind w:right="78"/>
              <w:spacing w:after="0" w:line="77" w:lineRule="exact"/>
              <w:rPr>
                <w:sz w:val="20"/>
                <w:szCs w:val="20"/>
                <w:color w:val="auto"/>
              </w:rPr>
            </w:pPr>
            <w:r>
              <w:rPr>
                <w:rFonts w:ascii="Arial" w:cs="Arial" w:eastAsia="Arial" w:hAnsi="Arial"/>
                <w:sz w:val="8"/>
                <w:szCs w:val="8"/>
                <w:color w:val="auto"/>
              </w:rPr>
              <w:t>123,25</w:t>
            </w:r>
          </w:p>
        </w:tc>
        <w:tc>
          <w:tcPr>
            <w:tcW w:w="600" w:type="dxa"/>
            <w:vAlign w:val="bottom"/>
          </w:tcPr>
          <w:p>
            <w:pPr>
              <w:jc w:val="right"/>
              <w:ind w:right="77"/>
              <w:spacing w:after="0" w:line="77" w:lineRule="exact"/>
              <w:rPr>
                <w:sz w:val="20"/>
                <w:szCs w:val="20"/>
                <w:color w:val="auto"/>
              </w:rPr>
            </w:pPr>
            <w:r>
              <w:rPr>
                <w:rFonts w:ascii="Arial" w:cs="Arial" w:eastAsia="Arial" w:hAnsi="Arial"/>
                <w:sz w:val="8"/>
                <w:szCs w:val="8"/>
                <w:color w:val="auto"/>
              </w:rPr>
              <w:t>141,950,</w:t>
            </w:r>
          </w:p>
        </w:tc>
        <w:tc>
          <w:tcPr>
            <w:tcW w:w="600" w:type="dxa"/>
            <w:vAlign w:val="bottom"/>
            <w:tcBorders>
              <w:right w:val="single" w:sz="8" w:color="auto"/>
            </w:tcBorders>
            <w:gridSpan w:val="2"/>
          </w:tcPr>
          <w:p>
            <w:pPr>
              <w:jc w:val="right"/>
              <w:ind w:right="77"/>
              <w:spacing w:after="0" w:line="77" w:lineRule="exact"/>
              <w:rPr>
                <w:sz w:val="20"/>
                <w:szCs w:val="20"/>
                <w:color w:val="auto"/>
              </w:rPr>
            </w:pPr>
            <w:r>
              <w:rPr>
                <w:rFonts w:ascii="Arial" w:cs="Arial" w:eastAsia="Arial" w:hAnsi="Arial"/>
                <w:sz w:val="8"/>
                <w:szCs w:val="8"/>
                <w:color w:val="auto"/>
              </w:rPr>
              <w:t>196,03</w:t>
            </w:r>
          </w:p>
        </w:tc>
        <w:tc>
          <w:tcPr>
            <w:tcW w:w="520" w:type="dxa"/>
            <w:vAlign w:val="bottom"/>
          </w:tcPr>
          <w:p>
            <w:pPr>
              <w:jc w:val="right"/>
              <w:ind w:right="17"/>
              <w:spacing w:after="0" w:line="77" w:lineRule="exact"/>
              <w:rPr>
                <w:sz w:val="20"/>
                <w:szCs w:val="20"/>
                <w:color w:val="auto"/>
              </w:rPr>
            </w:pPr>
            <w:r>
              <w:rPr>
                <w:rFonts w:ascii="Arial" w:cs="Arial" w:eastAsia="Arial" w:hAnsi="Arial"/>
                <w:sz w:val="8"/>
                <w:szCs w:val="8"/>
                <w:color w:val="auto"/>
              </w:rPr>
              <w:t>21,701,95</w:t>
            </w: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3</w:t>
            </w: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360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9"/>
                <w:szCs w:val="9"/>
                <w:color w:val="auto"/>
              </w:rPr>
              <w:t>5</w:t>
            </w: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598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9</w:t>
            </w: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color w:val="auto"/>
              </w:rPr>
              <w:t>377</w:t>
            </w: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color w:val="auto"/>
              </w:rPr>
              <w:t>1</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2</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color w:val="auto"/>
              </w:rPr>
              <w:t>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79,614</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(568,139)</w:t>
            </w:r>
          </w:p>
        </w:tc>
        <w:tc>
          <w:tcPr>
            <w:tcW w:w="16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245</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(488,278)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w w:val="95"/>
              </w:rPr>
              <w:t>Accumulated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780" w:type="dxa"/>
            <w:vAlign w:val="bottom"/>
          </w:tcPr>
          <w:p>
            <w:pPr>
              <w:spacing w:after="0"/>
              <w:rPr>
                <w:sz w:val="8"/>
                <w:szCs w:val="8"/>
                <w:color w:val="auto"/>
              </w:rPr>
            </w:pPr>
          </w:p>
        </w:tc>
        <w:tc>
          <w:tcPr>
            <w:tcW w:w="1220" w:type="dxa"/>
            <w:vAlign w:val="bottom"/>
            <w:gridSpan w:val="3"/>
            <w:vMerge w:val="restart"/>
          </w:tcPr>
          <w:p>
            <w:pPr>
              <w:jc w:val="center"/>
              <w:ind w:right="78"/>
              <w:spacing w:after="0"/>
              <w:rPr>
                <w:sz w:val="20"/>
                <w:szCs w:val="20"/>
                <w:color w:val="auto"/>
              </w:rPr>
            </w:pPr>
            <w:r>
              <w:rPr>
                <w:rFonts w:ascii="Arial" w:cs="Arial" w:eastAsia="Arial" w:hAnsi="Arial"/>
                <w:sz w:val="9"/>
                <w:szCs w:val="9"/>
                <w:b w:val="1"/>
                <w:bCs w:val="1"/>
                <w:color w:val="auto"/>
                <w:w w:val="94"/>
              </w:rPr>
              <w:t>Series A convertible</w:t>
            </w:r>
          </w:p>
        </w:tc>
        <w:tc>
          <w:tcPr>
            <w:tcW w:w="1160" w:type="dxa"/>
            <w:vAlign w:val="bottom"/>
            <w:gridSpan w:val="3"/>
            <w:vMerge w:val="restart"/>
          </w:tcPr>
          <w:p>
            <w:pPr>
              <w:jc w:val="center"/>
              <w:ind w:right="58"/>
              <w:spacing w:after="0"/>
              <w:rPr>
                <w:sz w:val="20"/>
                <w:szCs w:val="20"/>
                <w:color w:val="auto"/>
              </w:rPr>
            </w:pPr>
            <w:r>
              <w:rPr>
                <w:rFonts w:ascii="Arial" w:cs="Arial" w:eastAsia="Arial" w:hAnsi="Arial"/>
                <w:sz w:val="9"/>
                <w:szCs w:val="9"/>
                <w:b w:val="1"/>
                <w:bCs w:val="1"/>
                <w:color w:val="auto"/>
                <w:w w:val="94"/>
              </w:rPr>
              <w:t>Series B convertible</w:t>
            </w:r>
          </w:p>
        </w:tc>
        <w:tc>
          <w:tcPr>
            <w:tcW w:w="1200" w:type="dxa"/>
            <w:vAlign w:val="bottom"/>
            <w:gridSpan w:val="3"/>
            <w:vMerge w:val="restart"/>
          </w:tcPr>
          <w:p>
            <w:pPr>
              <w:jc w:val="center"/>
              <w:ind w:right="58"/>
              <w:spacing w:after="0"/>
              <w:rPr>
                <w:sz w:val="20"/>
                <w:szCs w:val="20"/>
                <w:color w:val="auto"/>
              </w:rPr>
            </w:pPr>
            <w:r>
              <w:rPr>
                <w:rFonts w:ascii="Arial" w:cs="Arial" w:eastAsia="Arial" w:hAnsi="Arial"/>
                <w:sz w:val="9"/>
                <w:szCs w:val="9"/>
                <w:b w:val="1"/>
                <w:bCs w:val="1"/>
                <w:color w:val="auto"/>
                <w:w w:val="94"/>
              </w:rPr>
              <w:t>Series C convertible</w:t>
            </w:r>
          </w:p>
        </w:tc>
        <w:tc>
          <w:tcPr>
            <w:tcW w:w="960" w:type="dxa"/>
            <w:vAlign w:val="bottom"/>
            <w:gridSpan w:val="2"/>
            <w:vMerge w:val="restart"/>
          </w:tcPr>
          <w:p>
            <w:pPr>
              <w:jc w:val="center"/>
              <w:ind w:left="77"/>
              <w:spacing w:after="0"/>
              <w:rPr>
                <w:sz w:val="20"/>
                <w:szCs w:val="20"/>
                <w:color w:val="auto"/>
              </w:rPr>
            </w:pPr>
            <w:r>
              <w:rPr>
                <w:rFonts w:ascii="Arial" w:cs="Arial" w:eastAsia="Arial" w:hAnsi="Arial"/>
                <w:sz w:val="9"/>
                <w:szCs w:val="9"/>
                <w:b w:val="1"/>
                <w:bCs w:val="1"/>
                <w:color w:val="auto"/>
                <w:w w:val="97"/>
              </w:rPr>
              <w:t>Series D convertible</w:t>
            </w:r>
          </w:p>
        </w:tc>
        <w:tc>
          <w:tcPr>
            <w:tcW w:w="2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center"/>
              <w:ind w:right="77"/>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center"/>
              <w:ind w:right="157"/>
              <w:spacing w:after="0" w:line="97" w:lineRule="exact"/>
              <w:rPr>
                <w:sz w:val="20"/>
                <w:szCs w:val="20"/>
                <w:color w:val="auto"/>
              </w:rPr>
            </w:pPr>
            <w:r>
              <w:rPr>
                <w:rFonts w:ascii="Arial" w:cs="Arial" w:eastAsia="Arial" w:hAnsi="Arial"/>
                <w:sz w:val="9"/>
                <w:szCs w:val="9"/>
                <w:b w:val="1"/>
                <w:bCs w:val="1"/>
                <w:color w:val="auto"/>
                <w:w w:val="97"/>
              </w:rPr>
              <w:t>other</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78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Accumulate</w:t>
            </w:r>
          </w:p>
        </w:tc>
        <w:tc>
          <w:tcPr>
            <w:tcW w:w="700" w:type="dxa"/>
            <w:vAlign w:val="bottom"/>
            <w:gridSpan w:val="2"/>
          </w:tcPr>
          <w:p>
            <w:pPr>
              <w:jc w:val="center"/>
              <w:spacing w:after="0" w:line="86" w:lineRule="exact"/>
              <w:rPr>
                <w:sz w:val="20"/>
                <w:szCs w:val="20"/>
                <w:color w:val="auto"/>
              </w:rPr>
            </w:pPr>
            <w:r>
              <w:rPr>
                <w:rFonts w:ascii="Arial" w:cs="Arial" w:eastAsia="Arial" w:hAnsi="Arial"/>
                <w:sz w:val="9"/>
                <w:szCs w:val="9"/>
                <w:b w:val="1"/>
                <w:bCs w:val="1"/>
                <w:color w:val="auto"/>
                <w:w w:val="96"/>
              </w:rPr>
              <w:t>comprehensi</w:t>
            </w:r>
          </w:p>
        </w:tc>
        <w:tc>
          <w:tcPr>
            <w:tcW w:w="120" w:type="dxa"/>
            <w:vAlign w:val="bottom"/>
          </w:tcPr>
          <w:p>
            <w:pPr>
              <w:spacing w:after="0"/>
              <w:rPr>
                <w:sz w:val="7"/>
                <w:szCs w:val="7"/>
                <w:color w:val="auto"/>
              </w:rPr>
            </w:pPr>
          </w:p>
        </w:tc>
        <w:tc>
          <w:tcPr>
            <w:tcW w:w="580" w:type="dxa"/>
            <w:vAlign w:val="bottom"/>
          </w:tcPr>
          <w:p>
            <w:pPr>
              <w:jc w:val="center"/>
              <w:ind w:right="177"/>
              <w:spacing w:after="0" w:line="86"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1220" w:type="dxa"/>
            <w:vAlign w:val="bottom"/>
            <w:tcBorders>
              <w:bottom w:val="single" w:sz="8" w:color="auto"/>
            </w:tcBorders>
            <w:gridSpan w:val="3"/>
          </w:tcPr>
          <w:p>
            <w:pPr>
              <w:jc w:val="center"/>
              <w:ind w:right="78"/>
              <w:spacing w:after="0"/>
              <w:rPr>
                <w:sz w:val="20"/>
                <w:szCs w:val="20"/>
                <w:color w:val="auto"/>
              </w:rPr>
            </w:pPr>
            <w:r>
              <w:rPr>
                <w:rFonts w:ascii="Arial" w:cs="Arial" w:eastAsia="Arial" w:hAnsi="Arial"/>
                <w:sz w:val="9"/>
                <w:szCs w:val="9"/>
                <w:b w:val="1"/>
                <w:bCs w:val="1"/>
                <w:color w:val="auto"/>
                <w:w w:val="94"/>
              </w:rPr>
              <w:t>preferred stock</w:t>
            </w:r>
          </w:p>
        </w:tc>
        <w:tc>
          <w:tcPr>
            <w:tcW w:w="1160" w:type="dxa"/>
            <w:vAlign w:val="bottom"/>
            <w:tcBorders>
              <w:bottom w:val="single" w:sz="8" w:color="auto"/>
            </w:tcBorders>
            <w:gridSpan w:val="3"/>
          </w:tcPr>
          <w:p>
            <w:pPr>
              <w:jc w:val="center"/>
              <w:ind w:right="58"/>
              <w:spacing w:after="0"/>
              <w:rPr>
                <w:sz w:val="20"/>
                <w:szCs w:val="20"/>
                <w:color w:val="auto"/>
              </w:rPr>
            </w:pPr>
            <w:r>
              <w:rPr>
                <w:rFonts w:ascii="Arial" w:cs="Arial" w:eastAsia="Arial" w:hAnsi="Arial"/>
                <w:sz w:val="9"/>
                <w:szCs w:val="9"/>
                <w:b w:val="1"/>
                <w:bCs w:val="1"/>
                <w:color w:val="auto"/>
                <w:w w:val="94"/>
              </w:rPr>
              <w:t>preferred stock</w:t>
            </w:r>
          </w:p>
        </w:tc>
        <w:tc>
          <w:tcPr>
            <w:tcW w:w="1200" w:type="dxa"/>
            <w:vAlign w:val="bottom"/>
            <w:tcBorders>
              <w:bottom w:val="single" w:sz="8" w:color="auto"/>
            </w:tcBorders>
            <w:gridSpan w:val="3"/>
          </w:tcPr>
          <w:p>
            <w:pPr>
              <w:jc w:val="center"/>
              <w:ind w:right="58"/>
              <w:spacing w:after="0"/>
              <w:rPr>
                <w:sz w:val="20"/>
                <w:szCs w:val="20"/>
                <w:color w:val="auto"/>
              </w:rPr>
            </w:pPr>
            <w:r>
              <w:rPr>
                <w:rFonts w:ascii="Arial" w:cs="Arial" w:eastAsia="Arial" w:hAnsi="Arial"/>
                <w:sz w:val="9"/>
                <w:szCs w:val="9"/>
                <w:b w:val="1"/>
                <w:bCs w:val="1"/>
                <w:color w:val="auto"/>
                <w:w w:val="94"/>
              </w:rPr>
              <w:t>preferred stock</w:t>
            </w:r>
          </w:p>
        </w:tc>
        <w:tc>
          <w:tcPr>
            <w:tcW w:w="96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9"/>
                <w:szCs w:val="9"/>
                <w:b w:val="1"/>
                <w:bCs w:val="1"/>
                <w:color w:val="auto"/>
                <w:w w:val="97"/>
              </w:rPr>
              <w:t>preferred stock</w:t>
            </w:r>
          </w:p>
        </w:tc>
        <w:tc>
          <w:tcPr>
            <w:tcW w:w="2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97"/>
              <w:spacing w:after="0"/>
              <w:rPr>
                <w:sz w:val="20"/>
                <w:szCs w:val="20"/>
                <w:color w:val="auto"/>
              </w:rPr>
            </w:pPr>
            <w:r>
              <w:rPr>
                <w:rFonts w:ascii="Arial" w:cs="Arial" w:eastAsia="Arial" w:hAnsi="Arial"/>
                <w:sz w:val="9"/>
                <w:szCs w:val="9"/>
                <w:b w:val="1"/>
                <w:bCs w:val="1"/>
                <w:color w:val="auto"/>
                <w:w w:val="94"/>
              </w:rPr>
              <w:t>paid-in</w:t>
            </w:r>
          </w:p>
        </w:tc>
        <w:tc>
          <w:tcPr>
            <w:tcW w:w="140" w:type="dxa"/>
            <w:vAlign w:val="bottom"/>
          </w:tcPr>
          <w:p>
            <w:pPr>
              <w:spacing w:after="0"/>
              <w:rPr>
                <w:sz w:val="9"/>
                <w:szCs w:val="9"/>
                <w:color w:val="auto"/>
              </w:rPr>
            </w:pPr>
          </w:p>
        </w:tc>
        <w:tc>
          <w:tcPr>
            <w:tcW w:w="480" w:type="dxa"/>
            <w:vAlign w:val="bottom"/>
          </w:tcPr>
          <w:p>
            <w:pPr>
              <w:jc w:val="center"/>
              <w:ind w:right="97"/>
              <w:spacing w:after="0"/>
              <w:rPr>
                <w:sz w:val="20"/>
                <w:szCs w:val="20"/>
                <w:color w:val="auto"/>
              </w:rPr>
            </w:pPr>
            <w:r>
              <w:rPr>
                <w:rFonts w:ascii="Arial" w:cs="Arial" w:eastAsia="Arial" w:hAnsi="Arial"/>
                <w:sz w:val="9"/>
                <w:szCs w:val="9"/>
                <w:b w:val="1"/>
                <w:bCs w:val="1"/>
                <w:color w:val="auto"/>
              </w:rPr>
              <w:t>d</w:t>
            </w:r>
          </w:p>
        </w:tc>
        <w:tc>
          <w:tcPr>
            <w:tcW w:w="160" w:type="dxa"/>
            <w:vAlign w:val="bottom"/>
          </w:tcPr>
          <w:p>
            <w:pPr>
              <w:spacing w:after="0"/>
              <w:rPr>
                <w:sz w:val="9"/>
                <w:szCs w:val="9"/>
                <w:color w:val="auto"/>
              </w:rPr>
            </w:pPr>
          </w:p>
        </w:tc>
        <w:tc>
          <w:tcPr>
            <w:tcW w:w="540" w:type="dxa"/>
            <w:vAlign w:val="bottom"/>
          </w:tcPr>
          <w:p>
            <w:pPr>
              <w:jc w:val="center"/>
              <w:ind w:right="157"/>
              <w:spacing w:after="0"/>
              <w:rPr>
                <w:sz w:val="20"/>
                <w:szCs w:val="20"/>
                <w:color w:val="auto"/>
              </w:rPr>
            </w:pPr>
            <w:r>
              <w:rPr>
                <w:rFonts w:ascii="Arial" w:cs="Arial" w:eastAsia="Arial" w:hAnsi="Arial"/>
                <w:sz w:val="9"/>
                <w:szCs w:val="9"/>
                <w:b w:val="1"/>
                <w:bCs w:val="1"/>
                <w:color w:val="auto"/>
                <w:w w:val="99"/>
              </w:rPr>
              <w:t>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87"/>
        </w:trPr>
        <w:tc>
          <w:tcPr>
            <w:tcW w:w="17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78"/>
              <w:spacing w:after="0" w:line="88" w:lineRule="exact"/>
              <w:rPr>
                <w:sz w:val="20"/>
                <w:szCs w:val="20"/>
                <w:color w:val="auto"/>
              </w:rPr>
            </w:pPr>
            <w:r>
              <w:rPr>
                <w:rFonts w:ascii="Arial" w:cs="Arial" w:eastAsia="Arial" w:hAnsi="Arial"/>
                <w:sz w:val="9"/>
                <w:szCs w:val="9"/>
                <w:b w:val="1"/>
                <w:bCs w:val="1"/>
                <w:color w:val="auto"/>
              </w:rPr>
              <w:t>Shares</w:t>
            </w:r>
          </w:p>
        </w:tc>
        <w:tc>
          <w:tcPr>
            <w:tcW w:w="620" w:type="dxa"/>
            <w:vAlign w:val="bottom"/>
            <w:tcBorders>
              <w:bottom w:val="single" w:sz="8" w:color="auto"/>
            </w:tcBorders>
            <w:gridSpan w:val="2"/>
          </w:tcPr>
          <w:p>
            <w:pPr>
              <w:jc w:val="right"/>
              <w:ind w:right="118"/>
              <w:spacing w:after="0" w:line="88" w:lineRule="exact"/>
              <w:rPr>
                <w:sz w:val="20"/>
                <w:szCs w:val="20"/>
                <w:color w:val="auto"/>
              </w:rPr>
            </w:pPr>
            <w:r>
              <w:rPr>
                <w:rFonts w:ascii="Arial" w:cs="Arial" w:eastAsia="Arial" w:hAnsi="Arial"/>
                <w:sz w:val="9"/>
                <w:szCs w:val="9"/>
                <w:b w:val="1"/>
                <w:bCs w:val="1"/>
                <w:color w:val="auto"/>
              </w:rPr>
              <w:t>Amount</w:t>
            </w:r>
          </w:p>
        </w:tc>
        <w:tc>
          <w:tcPr>
            <w:tcW w:w="560" w:type="dxa"/>
            <w:vAlign w:val="bottom"/>
            <w:tcBorders>
              <w:bottom w:val="single" w:sz="8" w:color="auto"/>
            </w:tcBorders>
          </w:tcPr>
          <w:p>
            <w:pPr>
              <w:jc w:val="right"/>
              <w:ind w:right="158"/>
              <w:spacing w:after="0" w:line="88" w:lineRule="exact"/>
              <w:rPr>
                <w:sz w:val="20"/>
                <w:szCs w:val="20"/>
                <w:color w:val="auto"/>
              </w:rPr>
            </w:pPr>
            <w:r>
              <w:rPr>
                <w:rFonts w:ascii="Arial" w:cs="Arial" w:eastAsia="Arial" w:hAnsi="Arial"/>
                <w:sz w:val="9"/>
                <w:szCs w:val="9"/>
                <w:b w:val="1"/>
                <w:bCs w:val="1"/>
                <w:color w:val="auto"/>
              </w:rPr>
              <w:t>Shares</w:t>
            </w:r>
          </w:p>
        </w:tc>
        <w:tc>
          <w:tcPr>
            <w:tcW w:w="600" w:type="dxa"/>
            <w:vAlign w:val="bottom"/>
            <w:tcBorders>
              <w:bottom w:val="single" w:sz="8" w:color="auto"/>
            </w:tcBorders>
            <w:gridSpan w:val="2"/>
          </w:tcPr>
          <w:p>
            <w:pPr>
              <w:jc w:val="right"/>
              <w:ind w:right="98"/>
              <w:spacing w:after="0" w:line="88" w:lineRule="exact"/>
              <w:rPr>
                <w:sz w:val="20"/>
                <w:szCs w:val="20"/>
                <w:color w:val="auto"/>
              </w:rPr>
            </w:pPr>
            <w:r>
              <w:rPr>
                <w:rFonts w:ascii="Arial" w:cs="Arial" w:eastAsia="Arial" w:hAnsi="Arial"/>
                <w:sz w:val="9"/>
                <w:szCs w:val="9"/>
                <w:b w:val="1"/>
                <w:bCs w:val="1"/>
                <w:color w:val="auto"/>
              </w:rPr>
              <w:t>Amount</w:t>
            </w:r>
          </w:p>
        </w:tc>
        <w:tc>
          <w:tcPr>
            <w:tcW w:w="580" w:type="dxa"/>
            <w:vAlign w:val="bottom"/>
            <w:tcBorders>
              <w:bottom w:val="single" w:sz="8" w:color="auto"/>
            </w:tcBorders>
          </w:tcPr>
          <w:p>
            <w:pPr>
              <w:jc w:val="right"/>
              <w:ind w:right="158"/>
              <w:spacing w:after="0" w:line="88" w:lineRule="exact"/>
              <w:rPr>
                <w:sz w:val="20"/>
                <w:szCs w:val="20"/>
                <w:color w:val="auto"/>
              </w:rPr>
            </w:pPr>
            <w:r>
              <w:rPr>
                <w:rFonts w:ascii="Arial" w:cs="Arial" w:eastAsia="Arial" w:hAnsi="Arial"/>
                <w:sz w:val="9"/>
                <w:szCs w:val="9"/>
                <w:b w:val="1"/>
                <w:bCs w:val="1"/>
                <w:color w:val="auto"/>
              </w:rPr>
              <w:t>Shares</w:t>
            </w:r>
          </w:p>
        </w:tc>
        <w:tc>
          <w:tcPr>
            <w:tcW w:w="620" w:type="dxa"/>
            <w:vAlign w:val="bottom"/>
            <w:tcBorders>
              <w:bottom w:val="single" w:sz="8" w:color="auto"/>
            </w:tcBorders>
            <w:gridSpan w:val="2"/>
          </w:tcPr>
          <w:p>
            <w:pPr>
              <w:jc w:val="right"/>
              <w:ind w:right="118"/>
              <w:spacing w:after="0" w:line="88" w:lineRule="exact"/>
              <w:rPr>
                <w:sz w:val="20"/>
                <w:szCs w:val="20"/>
                <w:color w:val="auto"/>
              </w:rPr>
            </w:pPr>
            <w:r>
              <w:rPr>
                <w:rFonts w:ascii="Arial" w:cs="Arial" w:eastAsia="Arial" w:hAnsi="Arial"/>
                <w:sz w:val="9"/>
                <w:szCs w:val="9"/>
                <w:b w:val="1"/>
                <w:bCs w:val="1"/>
                <w:color w:val="auto"/>
              </w:rPr>
              <w:t>Amount</w:t>
            </w:r>
          </w:p>
        </w:tc>
        <w:tc>
          <w:tcPr>
            <w:tcW w:w="600" w:type="dxa"/>
            <w:vAlign w:val="bottom"/>
            <w:tcBorders>
              <w:bottom w:val="single" w:sz="8" w:color="auto"/>
            </w:tcBorders>
          </w:tcPr>
          <w:p>
            <w:pPr>
              <w:jc w:val="right"/>
              <w:ind w:right="177"/>
              <w:spacing w:after="0" w:line="88" w:lineRule="exact"/>
              <w:rPr>
                <w:sz w:val="20"/>
                <w:szCs w:val="20"/>
                <w:color w:val="auto"/>
              </w:rPr>
            </w:pPr>
            <w:r>
              <w:rPr>
                <w:rFonts w:ascii="Arial" w:cs="Arial" w:eastAsia="Arial" w:hAnsi="Arial"/>
                <w:sz w:val="9"/>
                <w:szCs w:val="9"/>
                <w:b w:val="1"/>
                <w:bCs w:val="1"/>
                <w:color w:val="auto"/>
              </w:rPr>
              <w:t>Shares</w:t>
            </w:r>
          </w:p>
        </w:tc>
        <w:tc>
          <w:tcPr>
            <w:tcW w:w="600" w:type="dxa"/>
            <w:vAlign w:val="bottom"/>
            <w:tcBorders>
              <w:bottom w:val="single" w:sz="8" w:color="auto"/>
              <w:right w:val="single" w:sz="8" w:color="auto"/>
            </w:tcBorders>
            <w:gridSpan w:val="2"/>
          </w:tcPr>
          <w:p>
            <w:pPr>
              <w:jc w:val="right"/>
              <w:ind w:right="117"/>
              <w:spacing w:after="0" w:line="88" w:lineRule="exact"/>
              <w:rPr>
                <w:sz w:val="20"/>
                <w:szCs w:val="20"/>
                <w:color w:val="auto"/>
              </w:rPr>
            </w:pPr>
            <w:r>
              <w:rPr>
                <w:rFonts w:ascii="Arial" w:cs="Arial" w:eastAsia="Arial" w:hAnsi="Arial"/>
                <w:sz w:val="9"/>
                <w:szCs w:val="9"/>
                <w:b w:val="1"/>
                <w:bCs w:val="1"/>
                <w:color w:val="auto"/>
              </w:rPr>
              <w:t>Amount</w:t>
            </w:r>
          </w:p>
        </w:tc>
        <w:tc>
          <w:tcPr>
            <w:tcW w:w="520" w:type="dxa"/>
            <w:vAlign w:val="bottom"/>
            <w:tcBorders>
              <w:bottom w:val="single" w:sz="8" w:color="auto"/>
            </w:tcBorders>
          </w:tcPr>
          <w:p>
            <w:pPr>
              <w:jc w:val="right"/>
              <w:ind w:right="117"/>
              <w:spacing w:after="0" w:line="88" w:lineRule="exact"/>
              <w:rPr>
                <w:sz w:val="20"/>
                <w:szCs w:val="20"/>
                <w:color w:val="auto"/>
              </w:rPr>
            </w:pPr>
            <w:r>
              <w:rPr>
                <w:rFonts w:ascii="Arial" w:cs="Arial" w:eastAsia="Arial" w:hAnsi="Arial"/>
                <w:sz w:val="9"/>
                <w:szCs w:val="9"/>
                <w:b w:val="1"/>
                <w:bCs w:val="1"/>
                <w:color w:val="auto"/>
              </w:rPr>
              <w:t>Shares</w:t>
            </w:r>
          </w:p>
        </w:tc>
        <w:tc>
          <w:tcPr>
            <w:tcW w:w="560" w:type="dxa"/>
            <w:vAlign w:val="bottom"/>
            <w:tcBorders>
              <w:bottom w:val="single" w:sz="8" w:color="auto"/>
            </w:tcBorders>
            <w:gridSpan w:val="2"/>
          </w:tcPr>
          <w:p>
            <w:pPr>
              <w:jc w:val="right"/>
              <w:ind w:right="97"/>
              <w:spacing w:after="0" w:line="88" w:lineRule="exact"/>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center"/>
              <w:ind w:right="77"/>
              <w:spacing w:after="0" w:line="88" w:lineRule="exact"/>
              <w:rPr>
                <w:sz w:val="20"/>
                <w:szCs w:val="20"/>
                <w:color w:val="auto"/>
              </w:rPr>
            </w:pPr>
            <w:r>
              <w:rPr>
                <w:rFonts w:ascii="Arial" w:cs="Arial" w:eastAsia="Arial" w:hAnsi="Arial"/>
                <w:sz w:val="9"/>
                <w:szCs w:val="9"/>
                <w:b w:val="1"/>
                <w:bCs w:val="1"/>
                <w:color w:val="auto"/>
                <w:w w:val="91"/>
              </w:rPr>
              <w:t>capital</w:t>
            </w: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center"/>
              <w:ind w:right="97"/>
              <w:spacing w:after="0" w:line="88" w:lineRule="exact"/>
              <w:rPr>
                <w:sz w:val="20"/>
                <w:szCs w:val="20"/>
                <w:color w:val="auto"/>
              </w:rPr>
            </w:pPr>
            <w:r>
              <w:rPr>
                <w:rFonts w:ascii="Arial" w:cs="Arial" w:eastAsia="Arial" w:hAnsi="Arial"/>
                <w:sz w:val="9"/>
                <w:szCs w:val="9"/>
                <w:b w:val="1"/>
                <w:bCs w:val="1"/>
                <w:color w:val="auto"/>
                <w:w w:val="97"/>
              </w:rPr>
              <w:t>deficit</w:t>
            </w: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center"/>
              <w:ind w:right="157"/>
              <w:spacing w:after="0" w:line="88" w:lineRule="exact"/>
              <w:rPr>
                <w:sz w:val="20"/>
                <w:szCs w:val="20"/>
                <w:color w:val="auto"/>
              </w:rPr>
            </w:pPr>
            <w:r>
              <w:rPr>
                <w:rFonts w:ascii="Arial" w:cs="Arial" w:eastAsia="Arial" w:hAnsi="Arial"/>
                <w:sz w:val="9"/>
                <w:szCs w:val="9"/>
                <w:b w:val="1"/>
                <w:bCs w:val="1"/>
                <w:color w:val="auto"/>
                <w:w w:val="99"/>
              </w:rPr>
              <w:t>loss</w:t>
            </w: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center"/>
              <w:ind w:right="157"/>
              <w:spacing w:after="0" w:line="88" w:lineRule="exact"/>
              <w:rPr>
                <w:sz w:val="20"/>
                <w:szCs w:val="20"/>
                <w:color w:val="auto"/>
              </w:rPr>
            </w:pPr>
            <w:r>
              <w:rPr>
                <w:rFonts w:ascii="Arial" w:cs="Arial" w:eastAsia="Arial" w:hAnsi="Arial"/>
                <w:sz w:val="9"/>
                <w:szCs w:val="9"/>
                <w:b w:val="1"/>
                <w:bCs w:val="1"/>
                <w:color w:val="auto"/>
                <w:w w:val="97"/>
              </w:rPr>
              <w:t>deficit</w:t>
            </w:r>
          </w:p>
        </w:tc>
        <w:tc>
          <w:tcPr>
            <w:tcW w:w="0" w:type="dxa"/>
            <w:vAlign w:val="bottom"/>
          </w:tcPr>
          <w:p>
            <w:pPr>
              <w:spacing w:after="0"/>
              <w:rPr>
                <w:sz w:val="1"/>
                <w:szCs w:val="1"/>
                <w:color w:val="auto"/>
              </w:rPr>
            </w:pPr>
          </w:p>
        </w:tc>
      </w:tr>
      <w:tr>
        <w:trPr>
          <w:trHeight w:val="77"/>
        </w:trPr>
        <w:tc>
          <w:tcPr>
            <w:tcW w:w="1780" w:type="dxa"/>
            <w:vAlign w:val="bottom"/>
            <w:shd w:val="clear" w:color="auto" w:fill="CFF0FC"/>
          </w:tcPr>
          <w:p>
            <w:pPr>
              <w:spacing w:after="0" w:line="77" w:lineRule="exact"/>
              <w:rPr>
                <w:sz w:val="20"/>
                <w:szCs w:val="20"/>
                <w:color w:val="auto"/>
              </w:rPr>
            </w:pPr>
            <w:r>
              <w:rPr>
                <w:rFonts w:ascii="Arial" w:cs="Arial" w:eastAsia="Arial" w:hAnsi="Arial"/>
                <w:sz w:val="8"/>
                <w:szCs w:val="8"/>
                <w:b w:val="1"/>
                <w:bCs w:val="1"/>
                <w:color w:val="auto"/>
              </w:rPr>
              <w:t>Balance as of January 1, 2024</w:t>
            </w:r>
          </w:p>
        </w:tc>
        <w:tc>
          <w:tcPr>
            <w:tcW w:w="60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45,414,6</w:t>
            </w:r>
          </w:p>
        </w:tc>
        <w:tc>
          <w:tcPr>
            <w:tcW w:w="200" w:type="dxa"/>
            <w:vAlign w:val="bottom"/>
            <w:shd w:val="clear" w:color="auto" w:fill="CFF0FC"/>
          </w:tcPr>
          <w:p>
            <w:pPr>
              <w:spacing w:after="0"/>
              <w:rPr>
                <w:sz w:val="6"/>
                <w:szCs w:val="6"/>
                <w:color w:val="auto"/>
              </w:rPr>
            </w:pPr>
          </w:p>
        </w:tc>
        <w:tc>
          <w:tcPr>
            <w:tcW w:w="42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223,86</w:t>
            </w:r>
          </w:p>
        </w:tc>
        <w:tc>
          <w:tcPr>
            <w:tcW w:w="56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26,601,</w:t>
            </w:r>
          </w:p>
        </w:tc>
        <w:tc>
          <w:tcPr>
            <w:tcW w:w="200" w:type="dxa"/>
            <w:vAlign w:val="bottom"/>
            <w:shd w:val="clear" w:color="auto" w:fill="CFF0FC"/>
          </w:tcPr>
          <w:p>
            <w:pPr>
              <w:spacing w:after="0"/>
              <w:rPr>
                <w:sz w:val="6"/>
                <w:szCs w:val="6"/>
                <w:color w:val="auto"/>
              </w:rPr>
            </w:pPr>
          </w:p>
        </w:tc>
        <w:tc>
          <w:tcPr>
            <w:tcW w:w="400" w:type="dxa"/>
            <w:vAlign w:val="bottom"/>
            <w:shd w:val="clear" w:color="auto" w:fill="CFF0FC"/>
          </w:tcPr>
          <w:p>
            <w:pPr>
              <w:jc w:val="right"/>
              <w:ind w:right="58"/>
              <w:spacing w:after="0" w:line="77" w:lineRule="exact"/>
              <w:rPr>
                <w:sz w:val="20"/>
                <w:szCs w:val="20"/>
                <w:color w:val="auto"/>
              </w:rPr>
            </w:pPr>
            <w:r>
              <w:rPr>
                <w:rFonts w:ascii="Arial" w:cs="Arial" w:eastAsia="Arial" w:hAnsi="Arial"/>
                <w:sz w:val="8"/>
                <w:szCs w:val="8"/>
                <w:color w:val="auto"/>
              </w:rPr>
              <w:t>167,76</w:t>
            </w:r>
          </w:p>
        </w:tc>
        <w:tc>
          <w:tcPr>
            <w:tcW w:w="580" w:type="dxa"/>
            <w:vAlign w:val="bottom"/>
            <w:shd w:val="clear" w:color="auto" w:fill="CFF0FC"/>
          </w:tcPr>
          <w:p>
            <w:pPr>
              <w:jc w:val="right"/>
              <w:ind w:right="78"/>
              <w:spacing w:after="0" w:line="77" w:lineRule="exact"/>
              <w:rPr>
                <w:sz w:val="20"/>
                <w:szCs w:val="20"/>
                <w:color w:val="auto"/>
              </w:rPr>
            </w:pPr>
            <w:r>
              <w:rPr>
                <w:rFonts w:ascii="Arial" w:cs="Arial" w:eastAsia="Arial" w:hAnsi="Arial"/>
                <w:sz w:val="8"/>
                <w:szCs w:val="8"/>
                <w:color w:val="auto"/>
              </w:rPr>
              <w:t>19,426,</w:t>
            </w:r>
          </w:p>
        </w:tc>
        <w:tc>
          <w:tcPr>
            <w:tcW w:w="20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240" w:type="dxa"/>
            <w:vAlign w:val="bottom"/>
            <w:tcBorders>
              <w:right w:val="single" w:sz="8" w:color="auto"/>
            </w:tcBorders>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82</w:t>
            </w:r>
          </w:p>
        </w:tc>
        <w:tc>
          <w:tcPr>
            <w:tcW w:w="20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9</w:t>
            </w:r>
          </w:p>
        </w:tc>
        <w:tc>
          <w:tcPr>
            <w:tcW w:w="56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360</w:t>
            </w:r>
          </w:p>
        </w:tc>
        <w:tc>
          <w:tcPr>
            <w:tcW w:w="20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FF0FC"/>
          </w:tcPr>
          <w:p>
            <w:pPr>
              <w:jc w:val="right"/>
              <w:ind w:right="58"/>
              <w:spacing w:after="0"/>
              <w:rPr>
                <w:sz w:val="20"/>
                <w:szCs w:val="20"/>
                <w:color w:val="auto"/>
              </w:rPr>
            </w:pPr>
            <w:r>
              <w:rPr>
                <w:rFonts w:ascii="Arial" w:cs="Arial" w:eastAsia="Arial" w:hAnsi="Arial"/>
                <w:sz w:val="9"/>
                <w:szCs w:val="9"/>
                <w:color w:val="auto"/>
              </w:rPr>
              <w:t>5</w:t>
            </w:r>
          </w:p>
        </w:tc>
        <w:tc>
          <w:tcPr>
            <w:tcW w:w="58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000</w:t>
            </w:r>
          </w:p>
        </w:tc>
        <w:tc>
          <w:tcPr>
            <w:tcW w:w="20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96,571</w:t>
            </w:r>
          </w:p>
        </w:tc>
        <w:tc>
          <w:tcPr>
            <w:tcW w:w="60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360" w:type="dxa"/>
            <w:vAlign w:val="bottom"/>
            <w:shd w:val="clear" w:color="auto" w:fill="CFF0FC"/>
          </w:tcPr>
          <w:p>
            <w:pPr>
              <w:jc w:val="right"/>
              <w:ind w:right="178"/>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7,124,496</w:t>
            </w: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9"/>
                <w:szCs w:val="9"/>
                <w:color w:val="auto"/>
              </w:rPr>
              <w:t>1</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27,240</w:t>
            </w:r>
          </w:p>
        </w:tc>
        <w:tc>
          <w:tcPr>
            <w:tcW w:w="140" w:type="dxa"/>
            <w:vAlign w:val="bottom"/>
            <w:shd w:val="clear" w:color="auto" w:fill="CFF0FC"/>
          </w:tcPr>
          <w:p>
            <w:pPr>
              <w:ind w:left="60"/>
              <w:spacing w:after="0"/>
              <w:rPr>
                <w:sz w:val="20"/>
                <w:szCs w:val="20"/>
                <w:color w:val="auto"/>
              </w:rPr>
            </w:pPr>
            <w:r>
              <w:rPr>
                <w:rFonts w:ascii="Arial" w:cs="Arial" w:eastAsia="Arial" w:hAnsi="Arial"/>
                <w:sz w:val="9"/>
                <w:szCs w:val="9"/>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(289,091)</w:t>
            </w:r>
          </w:p>
        </w:tc>
        <w:tc>
          <w:tcPr>
            <w:tcW w:w="160" w:type="dxa"/>
            <w:vAlign w:val="bottom"/>
            <w:shd w:val="clear" w:color="auto" w:fill="CFF0FC"/>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(858)</w:t>
            </w:r>
          </w:p>
        </w:tc>
        <w:tc>
          <w:tcPr>
            <w:tcW w:w="120" w:type="dxa"/>
            <w:vAlign w:val="bottom"/>
            <w:shd w:val="clear" w:color="auto" w:fill="CFF0FC"/>
          </w:tcPr>
          <w:p>
            <w:pPr>
              <w:ind w:left="20"/>
              <w:spacing w:after="0"/>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37"/>
              <w:spacing w:after="0"/>
              <w:rPr>
                <w:sz w:val="20"/>
                <w:szCs w:val="20"/>
                <w:color w:val="auto"/>
              </w:rPr>
            </w:pPr>
            <w:r>
              <w:rPr>
                <w:rFonts w:ascii="Arial" w:cs="Arial" w:eastAsia="Arial" w:hAnsi="Arial"/>
                <w:sz w:val="9"/>
                <w:szCs w:val="9"/>
                <w:color w:val="auto"/>
              </w:rPr>
              <w:t>(262,708)</w:t>
            </w:r>
          </w:p>
        </w:tc>
        <w:tc>
          <w:tcPr>
            <w:tcW w:w="0" w:type="dxa"/>
            <w:vAlign w:val="bottom"/>
          </w:tcPr>
          <w:p>
            <w:pPr>
              <w:spacing w:after="0"/>
              <w:rPr>
                <w:sz w:val="1"/>
                <w:szCs w:val="1"/>
                <w:color w:val="auto"/>
              </w:rPr>
            </w:pPr>
          </w:p>
        </w:tc>
      </w:tr>
      <w:tr>
        <w:trPr>
          <w:trHeight w:val="97"/>
        </w:trPr>
        <w:tc>
          <w:tcPr>
            <w:tcW w:w="1780" w:type="dxa"/>
            <w:vAlign w:val="bottom"/>
          </w:tcPr>
          <w:p>
            <w:pPr>
              <w:spacing w:after="0" w:line="97" w:lineRule="exact"/>
              <w:rPr>
                <w:sz w:val="20"/>
                <w:szCs w:val="20"/>
                <w:color w:val="auto"/>
              </w:rPr>
            </w:pPr>
            <w:r>
              <w:rPr>
                <w:rFonts w:ascii="Arial" w:cs="Arial" w:eastAsia="Arial" w:hAnsi="Arial"/>
                <w:sz w:val="9"/>
                <w:szCs w:val="9"/>
                <w:color w:val="auto"/>
              </w:rPr>
              <w:t>Exercises of common stock options</w:t>
            </w:r>
          </w:p>
        </w:tc>
        <w:tc>
          <w:tcPr>
            <w:tcW w:w="60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240" w:type="dxa"/>
            <w:vAlign w:val="bottom"/>
            <w:tcBorders>
              <w:right w:val="single" w:sz="8" w:color="auto"/>
            </w:tcBorders>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line="97" w:lineRule="exact"/>
              <w:rPr>
                <w:sz w:val="20"/>
                <w:szCs w:val="20"/>
                <w:color w:val="auto"/>
              </w:rPr>
            </w:pPr>
            <w:r>
              <w:rPr>
                <w:rFonts w:ascii="Arial" w:cs="Arial" w:eastAsia="Arial" w:hAnsi="Arial"/>
                <w:sz w:val="9"/>
                <w:szCs w:val="9"/>
                <w:color w:val="auto"/>
              </w:rPr>
              <w:t>195,457</w:t>
            </w:r>
          </w:p>
        </w:tc>
        <w:tc>
          <w:tcPr>
            <w:tcW w:w="320" w:type="dxa"/>
            <w:vAlign w:val="bottom"/>
          </w:tcPr>
          <w:p>
            <w:pPr>
              <w:spacing w:after="0"/>
              <w:rPr>
                <w:sz w:val="8"/>
                <w:szCs w:val="8"/>
                <w:color w:val="auto"/>
              </w:rPr>
            </w:pPr>
          </w:p>
        </w:tc>
        <w:tc>
          <w:tcPr>
            <w:tcW w:w="240" w:type="dxa"/>
            <w:vAlign w:val="bottom"/>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tcPr>
          <w:p>
            <w:pPr>
              <w:jc w:val="right"/>
              <w:ind w:right="17"/>
              <w:spacing w:after="0" w:line="97" w:lineRule="exact"/>
              <w:rPr>
                <w:sz w:val="20"/>
                <w:szCs w:val="20"/>
                <w:color w:val="auto"/>
              </w:rPr>
            </w:pPr>
            <w:r>
              <w:rPr>
                <w:rFonts w:ascii="Arial" w:cs="Arial" w:eastAsia="Arial" w:hAnsi="Arial"/>
                <w:sz w:val="9"/>
                <w:szCs w:val="9"/>
                <w:color w:val="auto"/>
              </w:rPr>
              <w:t>510</w:t>
            </w:r>
          </w:p>
        </w:tc>
        <w:tc>
          <w:tcPr>
            <w:tcW w:w="140" w:type="dxa"/>
            <w:vAlign w:val="bottom"/>
          </w:tcPr>
          <w:p>
            <w:pPr>
              <w:spacing w:after="0"/>
              <w:rPr>
                <w:sz w:val="8"/>
                <w:szCs w:val="8"/>
                <w:color w:val="auto"/>
              </w:rPr>
            </w:pPr>
          </w:p>
        </w:tc>
        <w:tc>
          <w:tcPr>
            <w:tcW w:w="4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80" w:type="dxa"/>
            <w:vAlign w:val="bottom"/>
          </w:tcPr>
          <w:p>
            <w:pPr>
              <w:jc w:val="right"/>
              <w:ind w:right="77"/>
              <w:spacing w:after="0" w:line="97" w:lineRule="exact"/>
              <w:rPr>
                <w:sz w:val="20"/>
                <w:szCs w:val="20"/>
                <w:color w:val="auto"/>
              </w:rPr>
            </w:pPr>
            <w:r>
              <w:rPr>
                <w:rFonts w:ascii="Arial" w:cs="Arial" w:eastAsia="Arial" w:hAnsi="Arial"/>
                <w:sz w:val="9"/>
                <w:szCs w:val="9"/>
                <w:color w:val="auto"/>
              </w:rPr>
              <w:t>510</w:t>
            </w:r>
          </w:p>
        </w:tc>
        <w:tc>
          <w:tcPr>
            <w:tcW w:w="0" w:type="dxa"/>
            <w:vAlign w:val="bottom"/>
          </w:tcPr>
          <w:p>
            <w:pPr>
              <w:spacing w:after="0"/>
              <w:rPr>
                <w:sz w:val="1"/>
                <w:szCs w:val="1"/>
                <w:color w:val="auto"/>
              </w:rPr>
            </w:pPr>
          </w:p>
        </w:tc>
      </w:tr>
      <w:tr>
        <w:trPr>
          <w:trHeight w:val="97"/>
        </w:trPr>
        <w:tc>
          <w:tcPr>
            <w:tcW w:w="1780" w:type="dxa"/>
            <w:vAlign w:val="bottom"/>
            <w:shd w:val="clear" w:color="auto" w:fill="CFF0FC"/>
          </w:tcPr>
          <w:p>
            <w:pPr>
              <w:spacing w:after="0" w:line="97" w:lineRule="exact"/>
              <w:rPr>
                <w:sz w:val="20"/>
                <w:szCs w:val="20"/>
                <w:color w:val="auto"/>
              </w:rPr>
            </w:pPr>
            <w:r>
              <w:rPr>
                <w:rFonts w:ascii="Arial" w:cs="Arial" w:eastAsia="Arial" w:hAnsi="Arial"/>
                <w:sz w:val="9"/>
                <w:szCs w:val="9"/>
                <w:color w:val="auto"/>
              </w:rPr>
              <w:t>Vesting of restricted common stock</w:t>
            </w:r>
          </w:p>
        </w:tc>
        <w:tc>
          <w:tcPr>
            <w:tcW w:w="60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1,292,014</w:t>
            </w:r>
          </w:p>
        </w:tc>
        <w:tc>
          <w:tcPr>
            <w:tcW w:w="320" w:type="dxa"/>
            <w:vAlign w:val="bottom"/>
            <w:shd w:val="clear" w:color="auto" w:fill="CFF0FC"/>
          </w:tcPr>
          <w:p>
            <w:pPr>
              <w:spacing w:after="0"/>
              <w:rPr>
                <w:sz w:val="8"/>
                <w:szCs w:val="8"/>
                <w:color w:val="auto"/>
              </w:rPr>
            </w:pPr>
          </w:p>
        </w:tc>
        <w:tc>
          <w:tcPr>
            <w:tcW w:w="240" w:type="dxa"/>
            <w:vAlign w:val="bottom"/>
            <w:shd w:val="clear" w:color="auto" w:fill="CFF0FC"/>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491</w:t>
            </w: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491</w:t>
            </w:r>
          </w:p>
        </w:tc>
        <w:tc>
          <w:tcPr>
            <w:tcW w:w="0" w:type="dxa"/>
            <w:vAlign w:val="bottom"/>
          </w:tcPr>
          <w:p>
            <w:pPr>
              <w:spacing w:after="0"/>
              <w:rPr>
                <w:sz w:val="1"/>
                <w:szCs w:val="1"/>
                <w:color w:val="auto"/>
              </w:rPr>
            </w:pPr>
          </w:p>
        </w:tc>
      </w:tr>
      <w:tr>
        <w:trPr>
          <w:trHeight w:val="97"/>
        </w:trPr>
        <w:tc>
          <w:tcPr>
            <w:tcW w:w="1780" w:type="dxa"/>
            <w:vAlign w:val="bottom"/>
          </w:tcPr>
          <w:p>
            <w:pPr>
              <w:spacing w:after="0" w:line="97" w:lineRule="exact"/>
              <w:rPr>
                <w:sz w:val="20"/>
                <w:szCs w:val="20"/>
                <w:color w:val="auto"/>
              </w:rPr>
            </w:pPr>
            <w:r>
              <w:rPr>
                <w:rFonts w:ascii="Arial" w:cs="Arial" w:eastAsia="Arial" w:hAnsi="Arial"/>
                <w:sz w:val="9"/>
                <w:szCs w:val="9"/>
                <w:color w:val="auto"/>
              </w:rPr>
              <w:t>Stock-based compensation expense</w:t>
            </w:r>
          </w:p>
        </w:tc>
        <w:tc>
          <w:tcPr>
            <w:tcW w:w="60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240" w:type="dxa"/>
            <w:vAlign w:val="bottom"/>
            <w:tcBorders>
              <w:right w:val="single" w:sz="8" w:color="auto"/>
            </w:tcBorders>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240" w:type="dxa"/>
            <w:vAlign w:val="bottom"/>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tcPr>
          <w:p>
            <w:pPr>
              <w:jc w:val="right"/>
              <w:ind w:right="17"/>
              <w:spacing w:after="0" w:line="97" w:lineRule="exact"/>
              <w:rPr>
                <w:sz w:val="20"/>
                <w:szCs w:val="20"/>
                <w:color w:val="auto"/>
              </w:rPr>
            </w:pPr>
            <w:r>
              <w:rPr>
                <w:rFonts w:ascii="Arial" w:cs="Arial" w:eastAsia="Arial" w:hAnsi="Arial"/>
                <w:sz w:val="9"/>
                <w:szCs w:val="9"/>
                <w:color w:val="auto"/>
              </w:rPr>
              <w:t>8,195</w:t>
            </w:r>
          </w:p>
        </w:tc>
        <w:tc>
          <w:tcPr>
            <w:tcW w:w="140" w:type="dxa"/>
            <w:vAlign w:val="bottom"/>
          </w:tcPr>
          <w:p>
            <w:pPr>
              <w:spacing w:after="0"/>
              <w:rPr>
                <w:sz w:val="8"/>
                <w:szCs w:val="8"/>
                <w:color w:val="auto"/>
              </w:rPr>
            </w:pPr>
          </w:p>
        </w:tc>
        <w:tc>
          <w:tcPr>
            <w:tcW w:w="4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80" w:type="dxa"/>
            <w:vAlign w:val="bottom"/>
          </w:tcPr>
          <w:p>
            <w:pPr>
              <w:jc w:val="right"/>
              <w:ind w:right="77"/>
              <w:spacing w:after="0" w:line="97" w:lineRule="exact"/>
              <w:rPr>
                <w:sz w:val="20"/>
                <w:szCs w:val="20"/>
                <w:color w:val="auto"/>
              </w:rPr>
            </w:pPr>
            <w:r>
              <w:rPr>
                <w:rFonts w:ascii="Arial" w:cs="Arial" w:eastAsia="Arial" w:hAnsi="Arial"/>
                <w:sz w:val="9"/>
                <w:szCs w:val="9"/>
                <w:color w:val="auto"/>
              </w:rPr>
              <w:t>8,195</w:t>
            </w:r>
          </w:p>
        </w:tc>
        <w:tc>
          <w:tcPr>
            <w:tcW w:w="0" w:type="dxa"/>
            <w:vAlign w:val="bottom"/>
          </w:tcPr>
          <w:p>
            <w:pPr>
              <w:spacing w:after="0"/>
              <w:rPr>
                <w:sz w:val="1"/>
                <w:szCs w:val="1"/>
                <w:color w:val="auto"/>
              </w:rPr>
            </w:pPr>
          </w:p>
        </w:tc>
      </w:tr>
      <w:tr>
        <w:trPr>
          <w:trHeight w:val="86"/>
        </w:trPr>
        <w:tc>
          <w:tcPr>
            <w:tcW w:w="1780" w:type="dxa"/>
            <w:vAlign w:val="bottom"/>
            <w:shd w:val="clear" w:color="auto" w:fill="CFF0FC"/>
          </w:tcPr>
          <w:p>
            <w:pPr>
              <w:spacing w:after="0" w:line="86" w:lineRule="exact"/>
              <w:rPr>
                <w:sz w:val="20"/>
                <w:szCs w:val="20"/>
                <w:color w:val="auto"/>
              </w:rPr>
            </w:pPr>
            <w:r>
              <w:rPr>
                <w:rFonts w:ascii="Arial" w:cs="Arial" w:eastAsia="Arial" w:hAnsi="Arial"/>
                <w:sz w:val="9"/>
                <w:szCs w:val="9"/>
                <w:color w:val="auto"/>
              </w:rPr>
              <w:t>Issuance of Series C convertible preferred</w:t>
            </w:r>
          </w:p>
        </w:tc>
        <w:tc>
          <w:tcPr>
            <w:tcW w:w="6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580" w:type="dxa"/>
            <w:vAlign w:val="bottom"/>
            <w:shd w:val="clear" w:color="auto" w:fill="CFF0FC"/>
          </w:tcPr>
          <w:p>
            <w:pPr>
              <w:jc w:val="right"/>
              <w:ind w:right="78"/>
              <w:spacing w:after="0" w:line="86" w:lineRule="exact"/>
              <w:rPr>
                <w:sz w:val="20"/>
                <w:szCs w:val="20"/>
                <w:color w:val="auto"/>
              </w:rPr>
            </w:pPr>
            <w:r>
              <w:rPr>
                <w:rFonts w:ascii="Arial" w:cs="Arial" w:eastAsia="Arial" w:hAnsi="Arial"/>
                <w:sz w:val="9"/>
                <w:szCs w:val="9"/>
                <w:color w:val="auto"/>
              </w:rPr>
              <w:t>4,016,0</w:t>
            </w:r>
          </w:p>
        </w:tc>
        <w:tc>
          <w:tcPr>
            <w:tcW w:w="2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40" w:type="dxa"/>
            <w:vAlign w:val="bottom"/>
            <w:tcBorders>
              <w:right w:val="single" w:sz="8" w:color="auto"/>
            </w:tcBorders>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CFF0FC"/>
          </w:tcPr>
          <w:p>
            <w:pPr>
              <w:spacing w:after="0"/>
              <w:rPr>
                <w:sz w:val="20"/>
                <w:szCs w:val="20"/>
                <w:color w:val="auto"/>
              </w:rPr>
            </w:pPr>
            <w:r>
              <w:rPr>
                <w:rFonts w:ascii="Arial" w:cs="Arial" w:eastAsia="Arial" w:hAnsi="Arial"/>
                <w:sz w:val="9"/>
                <w:szCs w:val="9"/>
                <w:color w:val="auto"/>
              </w:rPr>
              <w:t>stock, net of issuance costs of $73</w:t>
            </w:r>
          </w:p>
        </w:tc>
        <w:tc>
          <w:tcPr>
            <w:tcW w:w="60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56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58"/>
              <w:spacing w:after="0"/>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00</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20,007</w:t>
            </w:r>
          </w:p>
        </w:tc>
        <w:tc>
          <w:tcPr>
            <w:tcW w:w="60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36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w:t>
            </w: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37"/>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6"/>
        </w:trPr>
        <w:tc>
          <w:tcPr>
            <w:tcW w:w="1780" w:type="dxa"/>
            <w:vAlign w:val="bottom"/>
          </w:tcPr>
          <w:p>
            <w:pPr>
              <w:spacing w:after="0" w:line="86" w:lineRule="exact"/>
              <w:rPr>
                <w:sz w:val="20"/>
                <w:szCs w:val="20"/>
                <w:color w:val="auto"/>
              </w:rPr>
            </w:pPr>
            <w:r>
              <w:rPr>
                <w:rFonts w:ascii="Arial" w:cs="Arial" w:eastAsia="Arial" w:hAnsi="Arial"/>
                <w:sz w:val="9"/>
                <w:szCs w:val="9"/>
                <w:color w:val="auto"/>
                <w:w w:val="99"/>
              </w:rPr>
              <w:t>Issuance of Series C-1 convertible preferred</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right"/>
              <w:ind w:right="78"/>
              <w:spacing w:after="0" w:line="86" w:lineRule="exact"/>
              <w:rPr>
                <w:sz w:val="20"/>
                <w:szCs w:val="20"/>
                <w:color w:val="auto"/>
              </w:rPr>
            </w:pPr>
            <w:r>
              <w:rPr>
                <w:rFonts w:ascii="Arial" w:cs="Arial" w:eastAsia="Arial" w:hAnsi="Arial"/>
                <w:sz w:val="9"/>
                <w:szCs w:val="9"/>
                <w:color w:val="auto"/>
              </w:rPr>
              <w:t>1,459,5</w:t>
            </w: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20"/>
                <w:szCs w:val="20"/>
                <w:color w:val="auto"/>
              </w:rPr>
            </w:pPr>
            <w:r>
              <w:rPr>
                <w:rFonts w:ascii="Arial" w:cs="Arial" w:eastAsia="Arial" w:hAnsi="Arial"/>
                <w:sz w:val="9"/>
                <w:szCs w:val="9"/>
                <w:color w:val="auto"/>
              </w:rPr>
              <w:t>stock, net of issuance costs of $30</w:t>
            </w:r>
          </w:p>
        </w:tc>
        <w:tc>
          <w:tcPr>
            <w:tcW w:w="600" w:type="dxa"/>
            <w:vAlign w:val="bottom"/>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20" w:type="dxa"/>
            <w:vAlign w:val="bottom"/>
          </w:tcPr>
          <w:p>
            <w:pPr>
              <w:jc w:val="right"/>
              <w:ind w:right="78"/>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00" w:type="dxa"/>
            <w:vAlign w:val="bottom"/>
          </w:tcPr>
          <w:p>
            <w:pPr>
              <w:jc w:val="right"/>
              <w:ind w:right="58"/>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rPr>
                <w:sz w:val="20"/>
                <w:szCs w:val="20"/>
                <w:color w:val="auto"/>
              </w:rPr>
            </w:pPr>
            <w:r>
              <w:rPr>
                <w:rFonts w:ascii="Arial" w:cs="Arial" w:eastAsia="Arial" w:hAnsi="Arial"/>
                <w:sz w:val="9"/>
                <w:szCs w:val="9"/>
                <w:color w:val="auto"/>
              </w:rPr>
              <w:t>98</w:t>
            </w:r>
          </w:p>
        </w:tc>
        <w:tc>
          <w:tcPr>
            <w:tcW w:w="200" w:type="dxa"/>
            <w:vAlign w:val="bottom"/>
          </w:tcPr>
          <w:p>
            <w:pPr>
              <w:spacing w:after="0"/>
              <w:rPr>
                <w:sz w:val="9"/>
                <w:szCs w:val="9"/>
                <w:color w:val="auto"/>
              </w:rPr>
            </w:pPr>
          </w:p>
        </w:tc>
        <w:tc>
          <w:tcPr>
            <w:tcW w:w="420" w:type="dxa"/>
            <w:vAlign w:val="bottom"/>
          </w:tcPr>
          <w:p>
            <w:pPr>
              <w:jc w:val="right"/>
              <w:ind w:right="78"/>
              <w:spacing w:after="0"/>
              <w:rPr>
                <w:sz w:val="20"/>
                <w:szCs w:val="20"/>
                <w:color w:val="auto"/>
              </w:rPr>
            </w:pPr>
            <w:r>
              <w:rPr>
                <w:rFonts w:ascii="Arial" w:cs="Arial" w:eastAsia="Arial" w:hAnsi="Arial"/>
                <w:sz w:val="9"/>
                <w:szCs w:val="9"/>
                <w:color w:val="auto"/>
              </w:rPr>
              <w:t>6,681</w:t>
            </w:r>
          </w:p>
        </w:tc>
        <w:tc>
          <w:tcPr>
            <w:tcW w:w="600" w:type="dxa"/>
            <w:vAlign w:val="bottom"/>
          </w:tcPr>
          <w:p>
            <w:pPr>
              <w:jc w:val="right"/>
              <w:ind w:right="77"/>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9"/>
                <w:szCs w:val="9"/>
                <w:color w:val="auto"/>
              </w:rPr>
            </w:pPr>
          </w:p>
        </w:tc>
        <w:tc>
          <w:tcPr>
            <w:tcW w:w="240" w:type="dxa"/>
            <w:vAlign w:val="bottom"/>
            <w:tcBorders>
              <w:right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9"/>
                <w:szCs w:val="9"/>
                <w:color w:val="auto"/>
              </w:rPr>
            </w:pPr>
          </w:p>
        </w:tc>
        <w:tc>
          <w:tcPr>
            <w:tcW w:w="24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789</w:t>
            </w:r>
          </w:p>
        </w:tc>
        <w:tc>
          <w:tcPr>
            <w:tcW w:w="140" w:type="dxa"/>
            <w:vAlign w:val="bottom"/>
          </w:tcPr>
          <w:p>
            <w:pPr>
              <w:spacing w:after="0"/>
              <w:rPr>
                <w:sz w:val="9"/>
                <w:szCs w:val="9"/>
                <w:color w:val="auto"/>
              </w:rPr>
            </w:pP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80" w:type="dxa"/>
            <w:vAlign w:val="bottom"/>
          </w:tcPr>
          <w:p>
            <w:pPr>
              <w:jc w:val="right"/>
              <w:ind w:right="77"/>
              <w:spacing w:after="0"/>
              <w:rPr>
                <w:sz w:val="20"/>
                <w:szCs w:val="20"/>
                <w:color w:val="auto"/>
              </w:rPr>
            </w:pPr>
            <w:r>
              <w:rPr>
                <w:rFonts w:ascii="Arial" w:cs="Arial" w:eastAsia="Arial" w:hAnsi="Arial"/>
                <w:sz w:val="9"/>
                <w:szCs w:val="9"/>
                <w:color w:val="auto"/>
              </w:rPr>
              <w:t>789</w:t>
            </w:r>
          </w:p>
        </w:tc>
        <w:tc>
          <w:tcPr>
            <w:tcW w:w="0" w:type="dxa"/>
            <w:vAlign w:val="bottom"/>
          </w:tcPr>
          <w:p>
            <w:pPr>
              <w:spacing w:after="0"/>
              <w:rPr>
                <w:sz w:val="1"/>
                <w:szCs w:val="1"/>
                <w:color w:val="auto"/>
              </w:rPr>
            </w:pPr>
          </w:p>
        </w:tc>
      </w:tr>
      <w:tr>
        <w:trPr>
          <w:trHeight w:val="86"/>
        </w:trPr>
        <w:tc>
          <w:tcPr>
            <w:tcW w:w="1780" w:type="dxa"/>
            <w:vAlign w:val="bottom"/>
            <w:shd w:val="clear" w:color="auto" w:fill="CFF0FC"/>
          </w:tcPr>
          <w:p>
            <w:pPr>
              <w:spacing w:after="0" w:line="86" w:lineRule="exact"/>
              <w:rPr>
                <w:sz w:val="20"/>
                <w:szCs w:val="20"/>
                <w:color w:val="auto"/>
              </w:rPr>
            </w:pPr>
            <w:r>
              <w:rPr>
                <w:rFonts w:ascii="Arial" w:cs="Arial" w:eastAsia="Arial" w:hAnsi="Arial"/>
                <w:sz w:val="9"/>
                <w:szCs w:val="9"/>
                <w:color w:val="auto"/>
                <w:w w:val="99"/>
              </w:rPr>
              <w:t>Deemed dividend upon convertible preferred</w:t>
            </w:r>
          </w:p>
        </w:tc>
        <w:tc>
          <w:tcPr>
            <w:tcW w:w="6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40" w:type="dxa"/>
            <w:vAlign w:val="bottom"/>
            <w:tcBorders>
              <w:right w:val="single" w:sz="8" w:color="auto"/>
            </w:tcBorders>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CFF0FC"/>
          </w:tcPr>
          <w:p>
            <w:pPr>
              <w:spacing w:after="0"/>
              <w:rPr>
                <w:sz w:val="20"/>
                <w:szCs w:val="20"/>
                <w:color w:val="auto"/>
              </w:rPr>
            </w:pPr>
            <w:r>
              <w:rPr>
                <w:rFonts w:ascii="Arial" w:cs="Arial" w:eastAsia="Arial" w:hAnsi="Arial"/>
                <w:sz w:val="9"/>
                <w:szCs w:val="9"/>
                <w:color w:val="auto"/>
              </w:rPr>
              <w:t>stock down round adjustment</w:t>
            </w:r>
          </w:p>
        </w:tc>
        <w:tc>
          <w:tcPr>
            <w:tcW w:w="60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56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58"/>
              <w:spacing w:after="0"/>
              <w:rPr>
                <w:sz w:val="20"/>
                <w:szCs w:val="20"/>
                <w:color w:val="auto"/>
              </w:rPr>
            </w:pPr>
            <w:r>
              <w:rPr>
                <w:rFonts w:ascii="Arial" w:cs="Arial" w:eastAsia="Arial" w:hAnsi="Arial"/>
                <w:sz w:val="9"/>
                <w:szCs w:val="9"/>
                <w:color w:val="auto"/>
              </w:rPr>
              <w:t>—</w:t>
            </w:r>
          </w:p>
        </w:tc>
        <w:tc>
          <w:tcPr>
            <w:tcW w:w="58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36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w:t>
            </w: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9"/>
                <w:szCs w:val="9"/>
                <w:color w:val="auto"/>
              </w:rPr>
              <w:t>1,080</w:t>
            </w: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(1,080)</w:t>
            </w: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37"/>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7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7"/>
        </w:trPr>
        <w:tc>
          <w:tcPr>
            <w:tcW w:w="1780" w:type="dxa"/>
            <w:vAlign w:val="bottom"/>
          </w:tcPr>
          <w:p>
            <w:pPr>
              <w:spacing w:after="0" w:line="97" w:lineRule="exact"/>
              <w:rPr>
                <w:sz w:val="20"/>
                <w:szCs w:val="20"/>
                <w:color w:val="auto"/>
              </w:rPr>
            </w:pPr>
            <w:r>
              <w:rPr>
                <w:rFonts w:ascii="Arial" w:cs="Arial" w:eastAsia="Arial" w:hAnsi="Arial"/>
                <w:sz w:val="9"/>
                <w:szCs w:val="9"/>
                <w:color w:val="auto"/>
              </w:rPr>
              <w:t>Other comprehensive loss, net</w:t>
            </w:r>
          </w:p>
        </w:tc>
        <w:tc>
          <w:tcPr>
            <w:tcW w:w="60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240" w:type="dxa"/>
            <w:vAlign w:val="bottom"/>
            <w:tcBorders>
              <w:right w:val="single" w:sz="8" w:color="auto"/>
            </w:tcBorders>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240" w:type="dxa"/>
            <w:vAlign w:val="bottom"/>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tcPr>
          <w:p>
            <w:pPr>
              <w:jc w:val="right"/>
              <w:ind w:right="17"/>
              <w:spacing w:after="0" w:line="97"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Arial" w:cs="Arial" w:eastAsia="Arial" w:hAnsi="Arial"/>
                <w:sz w:val="9"/>
                <w:szCs w:val="9"/>
                <w:color w:val="auto"/>
              </w:rPr>
              <w:t>(483)</w:t>
            </w:r>
          </w:p>
        </w:tc>
        <w:tc>
          <w:tcPr>
            <w:tcW w:w="120" w:type="dxa"/>
            <w:vAlign w:val="bottom"/>
          </w:tcPr>
          <w:p>
            <w:pPr>
              <w:spacing w:after="0"/>
              <w:rPr>
                <w:sz w:val="8"/>
                <w:szCs w:val="8"/>
                <w:color w:val="auto"/>
              </w:rPr>
            </w:pPr>
          </w:p>
        </w:tc>
        <w:tc>
          <w:tcPr>
            <w:tcW w:w="580" w:type="dxa"/>
            <w:vAlign w:val="bottom"/>
          </w:tcPr>
          <w:p>
            <w:pPr>
              <w:jc w:val="right"/>
              <w:ind w:right="37"/>
              <w:spacing w:after="0" w:line="97" w:lineRule="exact"/>
              <w:rPr>
                <w:sz w:val="20"/>
                <w:szCs w:val="20"/>
                <w:color w:val="auto"/>
              </w:rPr>
            </w:pPr>
            <w:r>
              <w:rPr>
                <w:rFonts w:ascii="Arial" w:cs="Arial" w:eastAsia="Arial" w:hAnsi="Arial"/>
                <w:sz w:val="9"/>
                <w:szCs w:val="9"/>
                <w:color w:val="auto"/>
              </w:rPr>
              <w:t>(483)</w:t>
            </w:r>
          </w:p>
        </w:tc>
        <w:tc>
          <w:tcPr>
            <w:tcW w:w="0" w:type="dxa"/>
            <w:vAlign w:val="bottom"/>
          </w:tcPr>
          <w:p>
            <w:pPr>
              <w:spacing w:after="0"/>
              <w:rPr>
                <w:sz w:val="1"/>
                <w:szCs w:val="1"/>
                <w:color w:val="auto"/>
              </w:rPr>
            </w:pPr>
          </w:p>
        </w:tc>
      </w:tr>
      <w:tr>
        <w:trPr>
          <w:trHeight w:val="97"/>
        </w:trPr>
        <w:tc>
          <w:tcPr>
            <w:tcW w:w="1780" w:type="dxa"/>
            <w:vAlign w:val="bottom"/>
            <w:tcBorders>
              <w:bottom w:val="single" w:sz="8" w:color="auto"/>
            </w:tcBorders>
            <w:shd w:val="clear" w:color="auto" w:fill="CFF0FC"/>
          </w:tcPr>
          <w:p>
            <w:pPr>
              <w:spacing w:after="0" w:line="97" w:lineRule="exact"/>
              <w:rPr>
                <w:sz w:val="20"/>
                <w:szCs w:val="20"/>
                <w:color w:val="auto"/>
              </w:rPr>
            </w:pPr>
            <w:r>
              <w:rPr>
                <w:rFonts w:ascii="Arial" w:cs="Arial" w:eastAsia="Arial" w:hAnsi="Arial"/>
                <w:sz w:val="9"/>
                <w:szCs w:val="9"/>
                <w:color w:val="auto"/>
              </w:rPr>
              <w:t>Net loss</w:t>
            </w:r>
          </w:p>
        </w:tc>
        <w:tc>
          <w:tcPr>
            <w:tcW w:w="60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auto"/>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auto"/>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jc w:val="right"/>
              <w:ind w:right="58"/>
              <w:spacing w:after="0" w:line="97"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auto"/>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jc w:val="right"/>
              <w:ind w:right="78"/>
              <w:spacing w:after="0" w:line="97"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auto"/>
            </w:tcBorders>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shd w:val="clear" w:color="auto" w:fill="CFF0FC"/>
          </w:tcPr>
          <w:p>
            <w:pPr>
              <w:spacing w:after="0"/>
              <w:rPr>
                <w:sz w:val="8"/>
                <w:szCs w:val="8"/>
                <w:color w:val="auto"/>
              </w:rPr>
            </w:pPr>
          </w:p>
        </w:tc>
        <w:tc>
          <w:tcPr>
            <w:tcW w:w="240" w:type="dxa"/>
            <w:vAlign w:val="bottom"/>
            <w:tcBorders>
              <w:bottom w:val="single" w:sz="8" w:color="auto"/>
              <w:right w:val="single" w:sz="8" w:color="auto"/>
            </w:tcBorders>
            <w:shd w:val="clear" w:color="auto" w:fill="CFF0FC"/>
          </w:tcPr>
          <w:p>
            <w:pPr>
              <w:jc w:val="right"/>
              <w:ind w:right="77"/>
              <w:spacing w:after="0" w:line="97"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jc w:val="right"/>
              <w:ind w:right="57"/>
              <w:spacing w:after="0" w:line="97"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shd w:val="clear" w:color="auto" w:fill="CFF0FC"/>
          </w:tcPr>
          <w:p>
            <w:pPr>
              <w:spacing w:after="0"/>
              <w:rPr>
                <w:sz w:val="8"/>
                <w:szCs w:val="8"/>
                <w:color w:val="auto"/>
              </w:rPr>
            </w:pPr>
          </w:p>
        </w:tc>
        <w:tc>
          <w:tcPr>
            <w:tcW w:w="580" w:type="dxa"/>
            <w:vAlign w:val="bottom"/>
            <w:tcBorders>
              <w:bottom w:val="single" w:sz="8" w:color="auto"/>
            </w:tcBorders>
            <w:shd w:val="clear" w:color="auto" w:fill="CFF0FC"/>
          </w:tcPr>
          <w:p>
            <w:pPr>
              <w:jc w:val="right"/>
              <w:ind w:right="17"/>
              <w:spacing w:after="0" w:line="97"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FF0FC"/>
          </w:tcPr>
          <w:p>
            <w:pPr>
              <w:spacing w:after="0"/>
              <w:rPr>
                <w:sz w:val="8"/>
                <w:szCs w:val="8"/>
                <w:color w:val="auto"/>
              </w:rPr>
            </w:pPr>
          </w:p>
        </w:tc>
        <w:tc>
          <w:tcPr>
            <w:tcW w:w="48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9"/>
                <w:szCs w:val="9"/>
                <w:color w:val="auto"/>
              </w:rPr>
              <w:t>(129,321)</w:t>
            </w:r>
          </w:p>
        </w:tc>
        <w:tc>
          <w:tcPr>
            <w:tcW w:w="160" w:type="dxa"/>
            <w:vAlign w:val="bottom"/>
            <w:tcBorders>
              <w:bottom w:val="single" w:sz="8" w:color="auto"/>
            </w:tcBorders>
            <w:shd w:val="clear" w:color="auto" w:fill="CFF0FC"/>
          </w:tcPr>
          <w:p>
            <w:pPr>
              <w:spacing w:after="0"/>
              <w:rPr>
                <w:sz w:val="8"/>
                <w:szCs w:val="8"/>
                <w:color w:val="auto"/>
              </w:rPr>
            </w:pPr>
          </w:p>
        </w:tc>
        <w:tc>
          <w:tcPr>
            <w:tcW w:w="540" w:type="dxa"/>
            <w:vAlign w:val="bottom"/>
            <w:tcBorders>
              <w:bottom w:val="single" w:sz="8" w:color="auto"/>
            </w:tcBorders>
            <w:shd w:val="clear" w:color="auto" w:fill="CFF0FC"/>
          </w:tcPr>
          <w:p>
            <w:pPr>
              <w:jc w:val="right"/>
              <w:ind w:right="37"/>
              <w:spacing w:after="0" w:line="97"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FF0FC"/>
          </w:tcPr>
          <w:p>
            <w:pPr>
              <w:spacing w:after="0"/>
              <w:rPr>
                <w:sz w:val="8"/>
                <w:szCs w:val="8"/>
                <w:color w:val="auto"/>
              </w:rPr>
            </w:pPr>
          </w:p>
        </w:tc>
        <w:tc>
          <w:tcPr>
            <w:tcW w:w="580" w:type="dxa"/>
            <w:vAlign w:val="bottom"/>
            <w:tcBorders>
              <w:bottom w:val="single" w:sz="8" w:color="auto"/>
            </w:tcBorders>
            <w:shd w:val="clear" w:color="auto" w:fill="CFF0FC"/>
          </w:tcPr>
          <w:p>
            <w:pPr>
              <w:jc w:val="right"/>
              <w:ind w:right="37"/>
              <w:spacing w:after="0" w:line="97" w:lineRule="exact"/>
              <w:rPr>
                <w:sz w:val="20"/>
                <w:szCs w:val="20"/>
                <w:color w:val="auto"/>
              </w:rPr>
            </w:pPr>
            <w:r>
              <w:rPr>
                <w:rFonts w:ascii="Arial" w:cs="Arial" w:eastAsia="Arial" w:hAnsi="Arial"/>
                <w:sz w:val="9"/>
                <w:szCs w:val="9"/>
                <w:color w:val="auto"/>
              </w:rPr>
              <w:t>(129,321)</w:t>
            </w:r>
          </w:p>
        </w:tc>
        <w:tc>
          <w:tcPr>
            <w:tcW w:w="0" w:type="dxa"/>
            <w:vAlign w:val="bottom"/>
          </w:tcPr>
          <w:p>
            <w:pPr>
              <w:spacing w:after="0"/>
              <w:rPr>
                <w:sz w:val="1"/>
                <w:szCs w:val="1"/>
                <w:color w:val="auto"/>
              </w:rPr>
            </w:pPr>
          </w:p>
        </w:tc>
      </w:tr>
      <w:tr>
        <w:trPr>
          <w:trHeight w:val="77"/>
        </w:trPr>
        <w:tc>
          <w:tcPr>
            <w:tcW w:w="1780" w:type="dxa"/>
            <w:vAlign w:val="bottom"/>
          </w:tcPr>
          <w:p>
            <w:pPr>
              <w:spacing w:after="0" w:line="77" w:lineRule="exact"/>
              <w:rPr>
                <w:sz w:val="20"/>
                <w:szCs w:val="20"/>
                <w:color w:val="auto"/>
              </w:rPr>
            </w:pPr>
            <w:r>
              <w:rPr>
                <w:rFonts w:ascii="Arial" w:cs="Arial" w:eastAsia="Arial" w:hAnsi="Arial"/>
                <w:sz w:val="8"/>
                <w:szCs w:val="8"/>
                <w:b w:val="1"/>
                <w:bCs w:val="1"/>
                <w:color w:val="auto"/>
              </w:rPr>
              <w:t>Balance as of December 31, 2024</w:t>
            </w:r>
          </w:p>
        </w:tc>
        <w:tc>
          <w:tcPr>
            <w:tcW w:w="600" w:type="dxa"/>
            <w:vAlign w:val="bottom"/>
          </w:tcPr>
          <w:p>
            <w:pPr>
              <w:jc w:val="right"/>
              <w:ind w:right="78"/>
              <w:spacing w:after="0" w:line="77" w:lineRule="exact"/>
              <w:rPr>
                <w:sz w:val="20"/>
                <w:szCs w:val="20"/>
                <w:color w:val="auto"/>
              </w:rPr>
            </w:pPr>
            <w:r>
              <w:rPr>
                <w:rFonts w:ascii="Arial" w:cs="Arial" w:eastAsia="Arial" w:hAnsi="Arial"/>
                <w:sz w:val="8"/>
                <w:szCs w:val="8"/>
                <w:color w:val="auto"/>
              </w:rPr>
              <w:t>45,414,6</w:t>
            </w:r>
          </w:p>
        </w:tc>
        <w:tc>
          <w:tcPr>
            <w:tcW w:w="200" w:type="dxa"/>
            <w:vAlign w:val="bottom"/>
          </w:tcPr>
          <w:p>
            <w:pPr>
              <w:spacing w:after="0"/>
              <w:rPr>
                <w:sz w:val="6"/>
                <w:szCs w:val="6"/>
                <w:color w:val="auto"/>
              </w:rPr>
            </w:pPr>
          </w:p>
        </w:tc>
        <w:tc>
          <w:tcPr>
            <w:tcW w:w="420" w:type="dxa"/>
            <w:vAlign w:val="bottom"/>
          </w:tcPr>
          <w:p>
            <w:pPr>
              <w:jc w:val="right"/>
              <w:ind w:right="78"/>
              <w:spacing w:after="0" w:line="77" w:lineRule="exact"/>
              <w:rPr>
                <w:sz w:val="20"/>
                <w:szCs w:val="20"/>
                <w:color w:val="auto"/>
              </w:rPr>
            </w:pPr>
            <w:r>
              <w:rPr>
                <w:rFonts w:ascii="Arial" w:cs="Arial" w:eastAsia="Arial" w:hAnsi="Arial"/>
                <w:sz w:val="8"/>
                <w:szCs w:val="8"/>
                <w:color w:val="auto"/>
              </w:rPr>
              <w:t>223,86</w:t>
            </w:r>
          </w:p>
        </w:tc>
        <w:tc>
          <w:tcPr>
            <w:tcW w:w="560" w:type="dxa"/>
            <w:vAlign w:val="bottom"/>
          </w:tcPr>
          <w:p>
            <w:pPr>
              <w:jc w:val="right"/>
              <w:ind w:right="78"/>
              <w:spacing w:after="0" w:line="77" w:lineRule="exact"/>
              <w:rPr>
                <w:sz w:val="20"/>
                <w:szCs w:val="20"/>
                <w:color w:val="auto"/>
              </w:rPr>
            </w:pPr>
            <w:r>
              <w:rPr>
                <w:rFonts w:ascii="Arial" w:cs="Arial" w:eastAsia="Arial" w:hAnsi="Arial"/>
                <w:sz w:val="8"/>
                <w:szCs w:val="8"/>
                <w:color w:val="auto"/>
              </w:rPr>
              <w:t>26,601,</w:t>
            </w:r>
          </w:p>
        </w:tc>
        <w:tc>
          <w:tcPr>
            <w:tcW w:w="200" w:type="dxa"/>
            <w:vAlign w:val="bottom"/>
          </w:tcPr>
          <w:p>
            <w:pPr>
              <w:spacing w:after="0"/>
              <w:rPr>
                <w:sz w:val="6"/>
                <w:szCs w:val="6"/>
                <w:color w:val="auto"/>
              </w:rPr>
            </w:pPr>
          </w:p>
        </w:tc>
        <w:tc>
          <w:tcPr>
            <w:tcW w:w="400" w:type="dxa"/>
            <w:vAlign w:val="bottom"/>
          </w:tcPr>
          <w:p>
            <w:pPr>
              <w:jc w:val="right"/>
              <w:ind w:right="58"/>
              <w:spacing w:after="0" w:line="77" w:lineRule="exact"/>
              <w:rPr>
                <w:sz w:val="20"/>
                <w:szCs w:val="20"/>
                <w:color w:val="auto"/>
              </w:rPr>
            </w:pPr>
            <w:r>
              <w:rPr>
                <w:rFonts w:ascii="Arial" w:cs="Arial" w:eastAsia="Arial" w:hAnsi="Arial"/>
                <w:sz w:val="8"/>
                <w:szCs w:val="8"/>
                <w:color w:val="auto"/>
              </w:rPr>
              <w:t>167,76</w:t>
            </w:r>
          </w:p>
        </w:tc>
        <w:tc>
          <w:tcPr>
            <w:tcW w:w="580" w:type="dxa"/>
            <w:vAlign w:val="bottom"/>
          </w:tcPr>
          <w:p>
            <w:pPr>
              <w:jc w:val="right"/>
              <w:ind w:right="78"/>
              <w:spacing w:after="0" w:line="77" w:lineRule="exact"/>
              <w:rPr>
                <w:sz w:val="20"/>
                <w:szCs w:val="20"/>
                <w:color w:val="auto"/>
              </w:rPr>
            </w:pPr>
            <w:r>
              <w:rPr>
                <w:rFonts w:ascii="Arial" w:cs="Arial" w:eastAsia="Arial" w:hAnsi="Arial"/>
                <w:sz w:val="8"/>
                <w:szCs w:val="8"/>
                <w:color w:val="auto"/>
              </w:rPr>
              <w:t>24,901,</w:t>
            </w:r>
          </w:p>
        </w:tc>
        <w:tc>
          <w:tcPr>
            <w:tcW w:w="200" w:type="dxa"/>
            <w:vAlign w:val="bottom"/>
          </w:tcPr>
          <w:p>
            <w:pPr>
              <w:spacing w:after="0"/>
              <w:rPr>
                <w:sz w:val="6"/>
                <w:szCs w:val="6"/>
                <w:color w:val="auto"/>
              </w:rPr>
            </w:pPr>
          </w:p>
        </w:tc>
        <w:tc>
          <w:tcPr>
            <w:tcW w:w="420" w:type="dxa"/>
            <w:vAlign w:val="bottom"/>
          </w:tcPr>
          <w:p>
            <w:pPr>
              <w:jc w:val="right"/>
              <w:ind w:right="78"/>
              <w:spacing w:after="0" w:line="77" w:lineRule="exact"/>
              <w:rPr>
                <w:sz w:val="20"/>
                <w:szCs w:val="20"/>
                <w:color w:val="auto"/>
              </w:rPr>
            </w:pPr>
            <w:r>
              <w:rPr>
                <w:rFonts w:ascii="Arial" w:cs="Arial" w:eastAsia="Arial" w:hAnsi="Arial"/>
                <w:sz w:val="8"/>
                <w:szCs w:val="8"/>
                <w:color w:val="auto"/>
              </w:rPr>
              <w:t>123,25</w:t>
            </w: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9</w:t>
            </w: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360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9"/>
                <w:szCs w:val="9"/>
                <w:color w:val="auto"/>
              </w:rPr>
              <w:t>5</w:t>
            </w: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598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color w:val="auto"/>
              </w:rPr>
              <w:t>9</w:t>
            </w: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8,611,967</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38,305</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(419,492)</w:t>
            </w:r>
          </w:p>
        </w:tc>
        <w:tc>
          <w:tcPr>
            <w:tcW w:w="16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(1,341)</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(382,527)</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The accompanying notes are an integral part of these audited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378460</wp:posOffset>
            </wp:positionV>
            <wp:extent cx="7222490"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123" w:right="759" w:bottom="1440" w:gutter="0" w:footer="0" w:header="0"/>
        </w:sectPr>
      </w:pPr>
    </w:p>
    <w:bookmarkStart w:id="237" w:name="page238"/>
    <w:bookmarkEnd w:id="23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Odyssey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6"/>
              <w:spacing w:after="0" w:line="141" w:lineRule="exact"/>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1" w:lineRule="exact"/>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shd w:val="clear" w:color="auto" w:fill="CFF0FC"/>
          </w:tcPr>
          <w:p>
            <w:pPr>
              <w:spacing w:after="0" w:line="141" w:lineRule="exact"/>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color w:val="auto"/>
              </w:rPr>
              <w:t>Net loss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(148,647)</w:t>
            </w:r>
          </w:p>
        </w:tc>
        <w:tc>
          <w:tcPr>
            <w:tcW w:w="30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(129,321)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4,911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5,193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from disposal of property and equipment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1,361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260"/>
              <w:spacing w:after="0"/>
              <w:rPr>
                <w:sz w:val="20"/>
                <w:szCs w:val="20"/>
                <w:color w:val="auto"/>
              </w:rPr>
            </w:pPr>
            <w:r>
              <w:rPr>
                <w:rFonts w:ascii="Arial" w:cs="Arial" w:eastAsia="Arial" w:hAnsi="Arial"/>
                <w:sz w:val="13"/>
                <w:szCs w:val="13"/>
                <w:color w:val="auto"/>
              </w:rPr>
              <w:t>Right-of-use asset impairment expense</w:t>
            </w:r>
          </w:p>
        </w:tc>
        <w:tc>
          <w:tcPr>
            <w:tcW w:w="16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5,440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Accretion of discount on marketable securities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6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14,322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8,686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rent expense</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3,485</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3,920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260"/>
              <w:spacing w:after="0"/>
              <w:rPr>
                <w:sz w:val="20"/>
                <w:szCs w:val="20"/>
                <w:color w:val="auto"/>
              </w:rPr>
            </w:pPr>
            <w:r>
              <w:rPr>
                <w:rFonts w:ascii="Arial" w:cs="Arial" w:eastAsia="Arial" w:hAnsi="Arial"/>
                <w:sz w:val="13"/>
                <w:szCs w:val="13"/>
                <w:color w:val="auto"/>
              </w:rPr>
              <w:t>Change in fair value of contingent consideration and warrant liability</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1,810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non-current assets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5,162</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2,061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(1,698)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Lease liabilities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(4,598)</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260"/>
              <w:spacing w:after="0"/>
              <w:rPr>
                <w:sz w:val="20"/>
                <w:szCs w:val="20"/>
                <w:color w:val="auto"/>
              </w:rPr>
            </w:pPr>
            <w:r>
              <w:rPr>
                <w:rFonts w:ascii="Arial" w:cs="Arial" w:eastAsia="Arial" w:hAnsi="Arial"/>
                <w:sz w:val="13"/>
                <w:szCs w:val="13"/>
                <w:color w:val="auto"/>
              </w:rPr>
              <w:t>Accrued expenses and other current liabilities</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(4,148)</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3,130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Borders>
              <w:bottom w:val="single" w:sz="8" w:color="CFF0FC"/>
            </w:tcBorders>
            <w:shd w:val="clear" w:color="auto" w:fill="CFF0FC"/>
          </w:tcPr>
          <w:p>
            <w:pPr>
              <w:ind w:left="400"/>
              <w:spacing w:after="0" w:line="141" w:lineRule="exact"/>
              <w:rPr>
                <w:sz w:val="20"/>
                <w:szCs w:val="20"/>
                <w:color w:val="auto"/>
              </w:rPr>
            </w:pPr>
            <w:r>
              <w:rPr>
                <w:rFonts w:ascii="Arial" w:cs="Arial" w:eastAsia="Arial" w:hAnsi="Arial"/>
                <w:sz w:val="13"/>
                <w:szCs w:val="13"/>
                <w:color w:val="auto"/>
              </w:rPr>
              <w:t>Net cash used in operating activities</w:t>
            </w: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(129,468)</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(117,471)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Pr>
          <w:p>
            <w:pPr>
              <w:spacing w:after="0" w:line="141" w:lineRule="exact"/>
              <w:rPr>
                <w:sz w:val="20"/>
                <w:szCs w:val="20"/>
                <w:color w:val="auto"/>
              </w:rPr>
            </w:pPr>
            <w:r>
              <w:rPr>
                <w:rFonts w:ascii="Arial" w:cs="Arial" w:eastAsia="Arial" w:hAnsi="Arial"/>
                <w:sz w:val="13"/>
                <w:szCs w:val="13"/>
                <w:b w:val="1"/>
                <w:bCs w:val="1"/>
                <w:color w:val="auto"/>
              </w:rPr>
              <w:t>Cash flows from investing activities: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Maturities of marketable securities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105,900</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150,159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color w:val="auto"/>
              </w:rPr>
              <w:t>Purchases of marketable securities</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(208,968)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(52,611)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Purchases of property and equipment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color w:val="auto"/>
              </w:rPr>
              <w:t>Proceeds from sale of property and equipment</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Borders>
              <w:bottom w:val="single" w:sz="8" w:color="CFF0FC"/>
            </w:tcBorders>
            <w:shd w:val="clear" w:color="auto" w:fill="CFF0FC"/>
          </w:tcPr>
          <w:p>
            <w:pPr>
              <w:ind w:left="400"/>
              <w:spacing w:after="0" w:line="141" w:lineRule="exact"/>
              <w:rPr>
                <w:sz w:val="20"/>
                <w:szCs w:val="20"/>
                <w:color w:val="auto"/>
              </w:rPr>
            </w:pPr>
            <w:r>
              <w:rPr>
                <w:rFonts w:ascii="Arial" w:cs="Arial" w:eastAsia="Arial" w:hAnsi="Arial"/>
                <w:sz w:val="13"/>
                <w:szCs w:val="13"/>
                <w:color w:val="auto"/>
              </w:rPr>
              <w:t>Net cash provided by (used in) investing activities</w:t>
            </w: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(103,943)</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96,784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Pr>
          <w:p>
            <w:pPr>
              <w:spacing w:after="0" w:line="141" w:lineRule="exact"/>
              <w:rPr>
                <w:sz w:val="20"/>
                <w:szCs w:val="20"/>
                <w:color w:val="auto"/>
              </w:rPr>
            </w:pPr>
            <w:r>
              <w:rPr>
                <w:rFonts w:ascii="Arial" w:cs="Arial" w:eastAsia="Arial" w:hAnsi="Arial"/>
                <w:sz w:val="13"/>
                <w:szCs w:val="13"/>
                <w:b w:val="1"/>
                <w:bCs w:val="1"/>
                <w:color w:val="auto"/>
              </w:rPr>
              <w:t>Cash flows from financing activities: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80" w:type="dxa"/>
            <w:vAlign w:val="bottom"/>
            <w:shd w:val="clear" w:color="auto" w:fill="CFF0FC"/>
          </w:tcPr>
          <w:p>
            <w:pPr>
              <w:ind w:left="120"/>
              <w:spacing w:after="0" w:line="140" w:lineRule="exact"/>
              <w:rPr>
                <w:sz w:val="20"/>
                <w:szCs w:val="20"/>
                <w:color w:val="auto"/>
              </w:rPr>
            </w:pPr>
            <w:r>
              <w:rPr>
                <w:rFonts w:ascii="Arial" w:cs="Arial" w:eastAsia="Arial" w:hAnsi="Arial"/>
                <w:sz w:val="13"/>
                <w:szCs w:val="13"/>
                <w:color w:val="auto"/>
              </w:rPr>
              <w:t>Proceeds from the issuance of convertible preferred stock and common stock warrants, net of</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issuance costs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212,458</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27,477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color w:val="auto"/>
              </w:rPr>
              <w:t>Proceeds from the exercise of common stock options</w:t>
            </w:r>
          </w:p>
        </w:tc>
        <w:tc>
          <w:tcPr>
            <w:tcW w:w="16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3,115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Proceeds from the exercise of common stock warrants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color w:val="auto"/>
              </w:rPr>
              <w:t>Payment of offering costs</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Borders>
              <w:bottom w:val="single" w:sz="8" w:color="CFF0FC"/>
            </w:tcBorders>
            <w:shd w:val="clear" w:color="auto" w:fill="CFF0FC"/>
          </w:tcPr>
          <w:p>
            <w:pPr>
              <w:ind w:left="40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215,646</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26,979</w:t>
            </w:r>
          </w:p>
        </w:tc>
        <w:tc>
          <w:tcPr>
            <w:tcW w:w="0" w:type="dxa"/>
            <w:vAlign w:val="bottom"/>
          </w:tcPr>
          <w:p>
            <w:pPr>
              <w:spacing w:after="0"/>
              <w:rPr>
                <w:sz w:val="1"/>
                <w:szCs w:val="1"/>
                <w:color w:val="auto"/>
              </w:rPr>
            </w:pPr>
          </w:p>
        </w:tc>
      </w:tr>
      <w:tr>
        <w:trPr>
          <w:trHeight w:val="141"/>
        </w:trPr>
        <w:tc>
          <w:tcPr>
            <w:tcW w:w="5600" w:type="dxa"/>
            <w:vAlign w:val="bottom"/>
            <w:gridSpan w:val="2"/>
          </w:tcPr>
          <w:p>
            <w:pPr>
              <w:spacing w:after="0" w:line="141" w:lineRule="exact"/>
              <w:rPr>
                <w:sz w:val="20"/>
                <w:szCs w:val="20"/>
                <w:color w:val="auto"/>
              </w:rPr>
            </w:pPr>
            <w:r>
              <w:rPr>
                <w:rFonts w:ascii="Arial" w:cs="Arial" w:eastAsia="Arial" w:hAnsi="Arial"/>
                <w:sz w:val="13"/>
                <w:szCs w:val="13"/>
                <w:color w:val="auto"/>
              </w:rPr>
              <w:t>Effect of exchange rate changes on cash, cash equivalents, and restricted cash</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316</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shd w:val="clear" w:color="auto" w:fill="CFF0FC"/>
          </w:tcPr>
          <w:p>
            <w:pPr>
              <w:ind w:left="400"/>
              <w:spacing w:after="0" w:line="141" w:lineRule="exact"/>
              <w:rPr>
                <w:sz w:val="20"/>
                <w:szCs w:val="20"/>
                <w:color w:val="auto"/>
              </w:rPr>
            </w:pPr>
            <w:r>
              <w:rPr>
                <w:rFonts w:ascii="Arial" w:cs="Arial" w:eastAsia="Arial" w:hAnsi="Arial"/>
                <w:sz w:val="13"/>
                <w:szCs w:val="13"/>
                <w:color w:val="auto"/>
              </w:rPr>
              <w:t>Increase (decrease) in cash, cash equivalents and restricted cash</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(17,449)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6,342</w:t>
            </w:r>
          </w:p>
        </w:tc>
        <w:tc>
          <w:tcPr>
            <w:tcW w:w="0" w:type="dxa"/>
            <w:vAlign w:val="bottom"/>
          </w:tcPr>
          <w:p>
            <w:pPr>
              <w:spacing w:after="0"/>
              <w:rPr>
                <w:sz w:val="1"/>
                <w:szCs w:val="1"/>
                <w:color w:val="auto"/>
              </w:rPr>
            </w:pPr>
          </w:p>
        </w:tc>
      </w:tr>
      <w:tr>
        <w:trPr>
          <w:trHeight w:val="150"/>
        </w:trPr>
        <w:tc>
          <w:tcPr>
            <w:tcW w:w="5600" w:type="dxa"/>
            <w:vAlign w:val="bottom"/>
            <w:gridSpan w:val="2"/>
          </w:tcPr>
          <w:p>
            <w:pPr>
              <w:spacing w:after="0"/>
              <w:rPr>
                <w:sz w:val="20"/>
                <w:szCs w:val="20"/>
                <w:color w:val="auto"/>
              </w:rPr>
            </w:pPr>
            <w:r>
              <w:rPr>
                <w:rFonts w:ascii="Arial" w:cs="Arial" w:eastAsia="Arial" w:hAnsi="Arial"/>
                <w:sz w:val="13"/>
                <w:szCs w:val="13"/>
                <w:color w:val="auto"/>
              </w:rPr>
              <w:t>Cash, cash equivalents and restricted cash, beginning of period</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62,346</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56,004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Cash, cash equivalents and restricted cash, end of period</w:t>
            </w:r>
          </w:p>
        </w:tc>
        <w:tc>
          <w:tcPr>
            <w:tcW w:w="160" w:type="dxa"/>
            <w:vAlign w:val="bottom"/>
            <w:shd w:val="clear" w:color="auto" w:fill="CFF0FC"/>
          </w:tcPr>
          <w:p>
            <w:pPr>
              <w:jc w:val="right"/>
              <w:ind w:right="16"/>
              <w:spacing w:after="0" w:line="131"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ind w:right="36"/>
              <w:spacing w:after="0" w:line="131" w:lineRule="exact"/>
              <w:rPr>
                <w:sz w:val="20"/>
                <w:szCs w:val="20"/>
                <w:color w:val="auto"/>
              </w:rPr>
            </w:pPr>
            <w:r>
              <w:rPr>
                <w:rFonts w:ascii="Arial" w:cs="Arial" w:eastAsia="Arial" w:hAnsi="Arial"/>
                <w:sz w:val="13"/>
                <w:szCs w:val="13"/>
                <w:color w:val="auto"/>
              </w:rPr>
              <w:t>44,897</w:t>
            </w:r>
          </w:p>
        </w:tc>
        <w:tc>
          <w:tcPr>
            <w:tcW w:w="300" w:type="dxa"/>
            <w:vAlign w:val="bottom"/>
            <w:gridSpan w:val="2"/>
            <w:shd w:val="clear" w:color="auto" w:fill="CFF0FC"/>
          </w:tcPr>
          <w:p>
            <w:pPr>
              <w:jc w:val="right"/>
              <w:ind w:right="56"/>
              <w:spacing w:after="0" w:line="131"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6"/>
              <w:spacing w:after="0" w:line="131" w:lineRule="exact"/>
              <w:rPr>
                <w:sz w:val="20"/>
                <w:szCs w:val="20"/>
                <w:color w:val="auto"/>
              </w:rPr>
            </w:pPr>
            <w:r>
              <w:rPr>
                <w:rFonts w:ascii="Arial" w:cs="Arial" w:eastAsia="Arial" w:hAnsi="Arial"/>
                <w:sz w:val="13"/>
                <w:szCs w:val="13"/>
                <w:color w:val="auto"/>
              </w:rPr>
              <w:t>62,346</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55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end of period</w:t>
            </w: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41,687</w:t>
            </w:r>
          </w:p>
        </w:tc>
        <w:tc>
          <w:tcPr>
            <w:tcW w:w="300" w:type="dxa"/>
            <w:vAlign w:val="bottom"/>
            <w:gridSpan w:val="2"/>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59,136</w:t>
            </w:r>
          </w:p>
        </w:tc>
        <w:tc>
          <w:tcPr>
            <w:tcW w:w="0" w:type="dxa"/>
            <w:vAlign w:val="bottom"/>
          </w:tcPr>
          <w:p>
            <w:pPr>
              <w:spacing w:after="0"/>
              <w:rPr>
                <w:sz w:val="1"/>
                <w:szCs w:val="1"/>
                <w:color w:val="auto"/>
              </w:rPr>
            </w:pPr>
          </w:p>
        </w:tc>
      </w:tr>
      <w:tr>
        <w:trPr>
          <w:trHeight w:val="150"/>
        </w:trPr>
        <w:tc>
          <w:tcPr>
            <w:tcW w:w="5600" w:type="dxa"/>
            <w:vAlign w:val="bottom"/>
            <w:gridSpan w:val="2"/>
          </w:tcPr>
          <w:p>
            <w:pPr>
              <w:spacing w:after="0"/>
              <w:rPr>
                <w:sz w:val="20"/>
                <w:szCs w:val="20"/>
                <w:color w:val="auto"/>
              </w:rPr>
            </w:pPr>
            <w:r>
              <w:rPr>
                <w:rFonts w:ascii="Arial" w:cs="Arial" w:eastAsia="Arial" w:hAnsi="Arial"/>
                <w:sz w:val="13"/>
                <w:szCs w:val="13"/>
                <w:color w:val="auto"/>
              </w:rPr>
              <w:t>Restricted cash, included in other non-current assets, end of period</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3,210</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Total cash, cash equivalents and restricted cash, end of period</w:t>
            </w:r>
          </w:p>
        </w:tc>
        <w:tc>
          <w:tcPr>
            <w:tcW w:w="160" w:type="dxa"/>
            <w:vAlign w:val="bottom"/>
            <w:shd w:val="clear" w:color="auto" w:fill="CFF0FC"/>
          </w:tcPr>
          <w:p>
            <w:pPr>
              <w:jc w:val="right"/>
              <w:ind w:right="16"/>
              <w:spacing w:after="0" w:line="131"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ind w:right="36"/>
              <w:spacing w:after="0" w:line="131" w:lineRule="exact"/>
              <w:rPr>
                <w:sz w:val="20"/>
                <w:szCs w:val="20"/>
                <w:color w:val="auto"/>
              </w:rPr>
            </w:pPr>
            <w:r>
              <w:rPr>
                <w:rFonts w:ascii="Arial" w:cs="Arial" w:eastAsia="Arial" w:hAnsi="Arial"/>
                <w:sz w:val="13"/>
                <w:szCs w:val="13"/>
                <w:color w:val="auto"/>
              </w:rPr>
              <w:t>44,897</w:t>
            </w:r>
          </w:p>
        </w:tc>
        <w:tc>
          <w:tcPr>
            <w:tcW w:w="300" w:type="dxa"/>
            <w:vAlign w:val="bottom"/>
            <w:gridSpan w:val="2"/>
            <w:shd w:val="clear" w:color="auto" w:fill="CFF0FC"/>
          </w:tcPr>
          <w:p>
            <w:pPr>
              <w:jc w:val="right"/>
              <w:ind w:right="56"/>
              <w:spacing w:after="0" w:line="131"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6"/>
              <w:spacing w:after="0" w:line="131" w:lineRule="exact"/>
              <w:rPr>
                <w:sz w:val="20"/>
                <w:szCs w:val="20"/>
                <w:color w:val="auto"/>
              </w:rPr>
            </w:pPr>
            <w:r>
              <w:rPr>
                <w:rFonts w:ascii="Arial" w:cs="Arial" w:eastAsia="Arial" w:hAnsi="Arial"/>
                <w:sz w:val="13"/>
                <w:szCs w:val="13"/>
                <w:color w:val="auto"/>
              </w:rPr>
              <w:t>62,346</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55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color w:val="auto"/>
              </w:rPr>
              <w:t>Cash paid for income taxes</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shd w:val="clear" w:color="auto" w:fill="CFF0FC"/>
          </w:tcPr>
          <w:p>
            <w:pPr>
              <w:ind w:left="120"/>
              <w:spacing w:after="0" w:line="141" w:lineRule="exact"/>
              <w:rPr>
                <w:sz w:val="20"/>
                <w:szCs w:val="20"/>
                <w:color w:val="auto"/>
              </w:rPr>
            </w:pPr>
            <w:r>
              <w:rPr>
                <w:rFonts w:ascii="Arial" w:cs="Arial" w:eastAsia="Arial" w:hAnsi="Arial"/>
                <w:sz w:val="13"/>
                <w:szCs w:val="13"/>
                <w:color w:val="auto"/>
              </w:rPr>
              <w:t>Cash paid for interest</w:t>
            </w:r>
          </w:p>
        </w:tc>
        <w:tc>
          <w:tcPr>
            <w:tcW w:w="160" w:type="dxa"/>
            <w:vAlign w:val="bottom"/>
            <w:shd w:val="clear" w:color="auto" w:fill="CFF0FC"/>
          </w:tcPr>
          <w:p>
            <w:pPr>
              <w:jc w:val="right"/>
              <w:ind w:right="16"/>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10</w:t>
            </w:r>
          </w:p>
        </w:tc>
        <w:tc>
          <w:tcPr>
            <w:tcW w:w="300" w:type="dxa"/>
            <w:vAlign w:val="bottom"/>
            <w:gridSpan w:val="2"/>
            <w:shd w:val="clear" w:color="auto" w:fill="CFF0FC"/>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5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disclosure of non-cash financing and investing activities: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80" w:type="dxa"/>
            <w:vAlign w:val="bottom"/>
          </w:tcPr>
          <w:p>
            <w:pPr>
              <w:ind w:left="120"/>
              <w:spacing w:after="0" w:line="140" w:lineRule="exact"/>
              <w:rPr>
                <w:sz w:val="20"/>
                <w:szCs w:val="20"/>
                <w:color w:val="auto"/>
              </w:rPr>
            </w:pPr>
            <w:r>
              <w:rPr>
                <w:rFonts w:ascii="Arial" w:cs="Arial" w:eastAsia="Arial" w:hAnsi="Arial"/>
                <w:sz w:val="13"/>
                <w:szCs w:val="13"/>
                <w:color w:val="auto"/>
              </w:rPr>
              <w:t>Deferred offering costs included in accounts payable and accrued expenses and other current</w:t>
            </w: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36"/>
              <w:spacing w:after="0"/>
              <w:rPr>
                <w:sz w:val="20"/>
                <w:szCs w:val="20"/>
                <w:color w:val="auto"/>
              </w:rPr>
            </w:pPr>
            <w:r>
              <w:rPr>
                <w:rFonts w:ascii="Arial" w:cs="Arial" w:eastAsia="Arial" w:hAnsi="Arial"/>
                <w:sz w:val="13"/>
                <w:szCs w:val="13"/>
                <w:color w:val="auto"/>
              </w:rPr>
              <w:t>64</w:t>
            </w:r>
          </w:p>
        </w:tc>
        <w:tc>
          <w:tcPr>
            <w:tcW w:w="100" w:type="dxa"/>
            <w:vAlign w:val="bottom"/>
            <w:vMerge w:val="restart"/>
          </w:tcPr>
          <w:p>
            <w:pPr>
              <w:spacing w:after="0"/>
              <w:rPr>
                <w:sz w:val="12"/>
                <w:szCs w:val="12"/>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ind w:right="36"/>
              <w:spacing w:after="0"/>
              <w:rPr>
                <w:sz w:val="20"/>
                <w:szCs w:val="20"/>
                <w:color w:val="auto"/>
              </w:rPr>
            </w:pPr>
            <w:r>
              <w:rPr>
                <w:rFonts w:ascii="Arial" w:cs="Arial" w:eastAsia="Arial" w:hAnsi="Arial"/>
                <w:sz w:val="13"/>
                <w:szCs w:val="13"/>
                <w:color w:val="auto"/>
              </w:rPr>
              <w:t>3,993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color w:val="auto"/>
              </w:rPr>
              <w:t>liabilities</w:t>
            </w:r>
          </w:p>
        </w:tc>
        <w:tc>
          <w:tcPr>
            <w:tcW w:w="1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Borders>
              <w:bottom w:val="single" w:sz="8" w:color="CFF0FC"/>
            </w:tcBorders>
            <w:shd w:val="clear" w:color="auto" w:fill="CFF0FC"/>
          </w:tcPr>
          <w:p>
            <w:pPr>
              <w:ind w:left="120"/>
              <w:spacing w:after="0" w:line="141" w:lineRule="exact"/>
              <w:rPr>
                <w:sz w:val="20"/>
                <w:szCs w:val="20"/>
                <w:color w:val="auto"/>
              </w:rPr>
            </w:pPr>
            <w:r>
              <w:rPr>
                <w:rFonts w:ascii="Arial" w:cs="Arial" w:eastAsia="Arial" w:hAnsi="Arial"/>
                <w:sz w:val="13"/>
                <w:szCs w:val="13"/>
                <w:color w:val="auto"/>
              </w:rPr>
              <w:t>Purchases of property and equipment included in accounts payable</w:t>
            </w:r>
          </w:p>
        </w:tc>
        <w:tc>
          <w:tcPr>
            <w:tcW w:w="160" w:type="dxa"/>
            <w:vAlign w:val="bottom"/>
            <w:tcBorders>
              <w:bottom w:val="single" w:sz="8" w:color="auto"/>
            </w:tcBorders>
            <w:shd w:val="clear" w:color="auto" w:fill="CFF0FC"/>
          </w:tcPr>
          <w:p>
            <w:pPr>
              <w:jc w:val="right"/>
              <w:ind w:right="16"/>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56"/>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Pr>
          <w:p>
            <w:pPr>
              <w:ind w:left="120"/>
              <w:spacing w:after="0" w:line="141" w:lineRule="exact"/>
              <w:rPr>
                <w:sz w:val="20"/>
                <w:szCs w:val="20"/>
                <w:color w:val="auto"/>
              </w:rPr>
            </w:pPr>
            <w:r>
              <w:rPr>
                <w:rFonts w:ascii="Arial" w:cs="Arial" w:eastAsia="Arial" w:hAnsi="Arial"/>
                <w:sz w:val="13"/>
                <w:szCs w:val="13"/>
                <w:color w:val="auto"/>
              </w:rPr>
              <w:t>Right-of-use assets obtained in exchange for new finance lease liabilities</w:t>
            </w:r>
          </w:p>
        </w:tc>
        <w:tc>
          <w:tcPr>
            <w:tcW w:w="160" w:type="dxa"/>
            <w:vAlign w:val="bottom"/>
            <w:tcBorders>
              <w:bottom w:val="single" w:sz="8" w:color="auto"/>
            </w:tcBorders>
          </w:tcPr>
          <w:p>
            <w:pPr>
              <w:jc w:val="right"/>
              <w:ind w:right="16"/>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339</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6"/>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Borders>
              <w:bottom w:val="single" w:sz="8" w:color="CFF0FC"/>
            </w:tcBorders>
            <w:shd w:val="clear" w:color="auto" w:fill="CFF0FC"/>
          </w:tcPr>
          <w:p>
            <w:pPr>
              <w:ind w:left="120"/>
              <w:spacing w:after="0" w:line="141" w:lineRule="exact"/>
              <w:rPr>
                <w:sz w:val="20"/>
                <w:szCs w:val="20"/>
                <w:color w:val="auto"/>
              </w:rPr>
            </w:pPr>
            <w:r>
              <w:rPr>
                <w:rFonts w:ascii="Arial" w:cs="Arial" w:eastAsia="Arial" w:hAnsi="Arial"/>
                <w:sz w:val="13"/>
                <w:szCs w:val="13"/>
                <w:color w:val="auto"/>
              </w:rPr>
              <w:t>Remeasurement of right-of-use assets and lease liabilities</w:t>
            </w:r>
          </w:p>
        </w:tc>
        <w:tc>
          <w:tcPr>
            <w:tcW w:w="160" w:type="dxa"/>
            <w:vAlign w:val="bottom"/>
            <w:tcBorders>
              <w:bottom w:val="single" w:sz="8" w:color="auto"/>
            </w:tcBorders>
            <w:shd w:val="clear" w:color="auto" w:fill="CFF0FC"/>
          </w:tcPr>
          <w:p>
            <w:pPr>
              <w:jc w:val="right"/>
              <w:ind w:right="16"/>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310</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56"/>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80" w:type="dxa"/>
            <w:vAlign w:val="bottom"/>
          </w:tcPr>
          <w:p>
            <w:pPr>
              <w:ind w:left="120"/>
              <w:spacing w:after="0" w:line="141" w:lineRule="exact"/>
              <w:rPr>
                <w:sz w:val="20"/>
                <w:szCs w:val="20"/>
                <w:color w:val="auto"/>
              </w:rPr>
            </w:pPr>
            <w:r>
              <w:rPr>
                <w:rFonts w:ascii="Arial" w:cs="Arial" w:eastAsia="Arial" w:hAnsi="Arial"/>
                <w:sz w:val="13"/>
                <w:szCs w:val="13"/>
                <w:color w:val="auto"/>
              </w:rPr>
              <w:t>Unrealized gain on marketable securities</w:t>
            </w:r>
          </w:p>
        </w:tc>
        <w:tc>
          <w:tcPr>
            <w:tcW w:w="160" w:type="dxa"/>
            <w:vAlign w:val="bottom"/>
            <w:tcBorders>
              <w:bottom w:val="single" w:sz="8" w:color="auto"/>
            </w:tcBorders>
          </w:tcPr>
          <w:p>
            <w:pPr>
              <w:jc w:val="right"/>
              <w:ind w:right="16"/>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6"/>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-3286125</wp:posOffset>
            </wp:positionV>
            <wp:extent cx="6794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-2700020</wp:posOffset>
            </wp:positionV>
            <wp:extent cx="6794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-2018030</wp:posOffset>
            </wp:positionV>
            <wp:extent cx="6794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-1615440</wp:posOffset>
            </wp:positionV>
            <wp:extent cx="6794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-1602105</wp:posOffset>
            </wp:positionV>
            <wp:extent cx="6794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-1206500</wp:posOffset>
            </wp:positionV>
            <wp:extent cx="6794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-1192530</wp:posOffset>
            </wp:positionV>
            <wp:extent cx="6794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-796925</wp:posOffset>
            </wp:positionV>
            <wp:extent cx="6794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-313055</wp:posOffset>
            </wp:positionV>
            <wp:extent cx="6794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-108585</wp:posOffset>
            </wp:positionV>
            <wp:extent cx="6794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audited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8" w:name="page239"/>
    <w:bookmarkEnd w:id="23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Odyssey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47" w:lineRule="exact"/>
        <w:rPr>
          <w:sz w:val="20"/>
          <w:szCs w:val="20"/>
          <w:color w:val="auto"/>
        </w:rPr>
      </w:pPr>
    </w:p>
    <w:p>
      <w:pPr>
        <w:ind w:left="1160" w:hanging="522"/>
        <w:spacing w:after="0"/>
        <w:tabs>
          <w:tab w:leader="none" w:pos="1160"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 and Liquidity</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Business</w:t>
      </w:r>
    </w:p>
    <w:p>
      <w:pPr>
        <w:spacing w:after="0" w:line="170"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Odyssey Therapeutics, Inc. (the “Company”) is a clinical-stage biopharmaceutical company seeking to transform the standard of care for patients suffering from autoimmune and inflammatory diseases. To accomplish this, the Company is developing medicines that are designed to precisely target disease pathology with an initial emphasis on the innate immune system.</w:t>
      </w:r>
    </w:p>
    <w:p>
      <w:pPr>
        <w:spacing w:after="0" w:line="135" w:lineRule="exact"/>
        <w:rPr>
          <w:sz w:val="20"/>
          <w:szCs w:val="20"/>
          <w:color w:val="auto"/>
        </w:rPr>
      </w:pPr>
    </w:p>
    <w:p>
      <w:pPr>
        <w:jc w:val="both"/>
        <w:ind w:left="640" w:right="659"/>
        <w:spacing w:after="0" w:line="245" w:lineRule="auto"/>
        <w:rPr>
          <w:sz w:val="20"/>
          <w:szCs w:val="20"/>
          <w:color w:val="auto"/>
        </w:rPr>
      </w:pPr>
      <w:r>
        <w:rPr>
          <w:rFonts w:ascii="Arial" w:cs="Arial" w:eastAsia="Arial" w:hAnsi="Arial"/>
          <w:sz w:val="14"/>
          <w:szCs w:val="14"/>
          <w:color w:val="auto"/>
        </w:rPr>
        <w:t>The Company is subject to risks and uncertainties common to early-stage companies in the biotechnology industry, including, but not limited to, completion of preclinical studies and clinical trials, obtaining regulatory approval for product candidates, development by competitors of new technological innovations, dependence on key personnel, protection of proprietary technology, compliance with government regulations and ability to secure additional capital to fund operations. Product candidates currently under development by the Company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and reporting capabilities. Even if product development efforts are successful, it is uncertain when, if ever, the Company will realize significant revenue from product sales.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Liquidity and Going Concern</w:t>
      </w:r>
    </w:p>
    <w:p>
      <w:pPr>
        <w:spacing w:after="0" w:line="170"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accompanying financial statements are prepared in accordance with generally accepted accounting principles applicable to a going concern, which contemplates the realization of assets and the satisfaction of liabilities in the ordinary course of business.</w:t>
      </w:r>
    </w:p>
    <w:p>
      <w:pPr>
        <w:spacing w:after="0" w:line="130" w:lineRule="exact"/>
        <w:rPr>
          <w:sz w:val="20"/>
          <w:szCs w:val="20"/>
          <w:color w:val="auto"/>
        </w:rPr>
      </w:pPr>
    </w:p>
    <w:p>
      <w:pPr>
        <w:jc w:val="both"/>
        <w:ind w:left="640" w:right="639"/>
        <w:spacing w:after="0" w:line="248" w:lineRule="auto"/>
        <w:rPr>
          <w:sz w:val="20"/>
          <w:szCs w:val="20"/>
          <w:color w:val="auto"/>
        </w:rPr>
      </w:pPr>
      <w:r>
        <w:rPr>
          <w:rFonts w:ascii="Arial" w:cs="Arial" w:eastAsia="Arial" w:hAnsi="Arial"/>
          <w:sz w:val="14"/>
          <w:szCs w:val="14"/>
          <w:color w:val="auto"/>
        </w:rPr>
        <w:t>Since its inception, the Company has devoted substantially all of its resources to business planning, research and development activities, recruiting management and technical staff, raising capital, producing materials for preclinical studies and clinical trials, developing and establishing the Company’s intellectual property portfolio, entering into collaboration agreements, acquiring companies or assets to further the Company’s development programs and building infrastructure to support such activities. The Company has financed its operations primarily through the sale of shares of convertible preferred stock and the proceeds from research collaborations and license agreements.</w:t>
      </w:r>
    </w:p>
    <w:p>
      <w:pPr>
        <w:spacing w:after="0" w:line="140" w:lineRule="exact"/>
        <w:rPr>
          <w:sz w:val="20"/>
          <w:szCs w:val="20"/>
          <w:color w:val="auto"/>
        </w:rPr>
      </w:pPr>
    </w:p>
    <w:p>
      <w:pPr>
        <w:jc w:val="both"/>
        <w:ind w:left="640" w:right="639"/>
        <w:spacing w:after="0" w:line="244" w:lineRule="auto"/>
        <w:rPr>
          <w:sz w:val="20"/>
          <w:szCs w:val="20"/>
          <w:color w:val="auto"/>
        </w:rPr>
      </w:pPr>
      <w:r>
        <w:rPr>
          <w:rFonts w:ascii="Arial" w:cs="Arial" w:eastAsia="Arial" w:hAnsi="Arial"/>
          <w:sz w:val="14"/>
          <w:szCs w:val="14"/>
          <w:color w:val="auto"/>
        </w:rPr>
        <w:t>The Company has incurred losses each year since inception and expects that operating losses and negative cash flows will continue for the foreseeable future as the Company continues to develop its product candidates. As the Company continues to develop its product candidates, it will require significant additional research and development efforts, including extensive preclinical and clinical testing and regulatory approval prior to commercialization. It may never achieve profitability or commercialization, and unless and until it does, it will continue to need to raise additional capital to fund its operations. Management believes that the Company’s cash, cash equivalents, and marketable securities of $216.6 million as of December 31, 2025, are not sufficient to maintain its current and planned operations for at least the next twelve months following the issuance date of these consolidated financial statements. Accordingly, Management has concluded that these conditions, in the aggregate, raise substantial doubt about the Company’s ability to continue as a going concern.</w:t>
      </w:r>
    </w:p>
    <w:p>
      <w:pPr>
        <w:spacing w:after="0" w:line="310" w:lineRule="exact"/>
        <w:rPr>
          <w:sz w:val="20"/>
          <w:szCs w:val="20"/>
          <w:color w:val="auto"/>
        </w:rPr>
      </w:pPr>
    </w:p>
    <w:p>
      <w:pPr>
        <w:jc w:val="both"/>
        <w:ind w:left="640" w:right="659"/>
        <w:spacing w:after="0" w:line="245" w:lineRule="auto"/>
        <w:rPr>
          <w:sz w:val="20"/>
          <w:szCs w:val="20"/>
          <w:color w:val="auto"/>
        </w:rPr>
      </w:pPr>
      <w:r>
        <w:rPr>
          <w:rFonts w:ascii="Arial" w:cs="Arial" w:eastAsia="Arial" w:hAnsi="Arial"/>
          <w:sz w:val="14"/>
          <w:szCs w:val="14"/>
          <w:color w:val="auto"/>
        </w:rPr>
        <w:t>In response to these conditions, the Company is seeking to complete an initial public offering of common stock. In the event the Company does not complete the initial public offering, the Company plans to seek additional funding through private equity financings or other capital sources including collaboration agreements and licensing arrangements. The Company may not be able to obtain financing on acceptable terms, or at all. If the Company is unable to obtain adequate financing through an initial public offering or private equity financings, management will evaluate alternatives, which may include a delay, reduction or elimination of research and development programs or a reduction of headcount, which could adversely affect future business prospects, and the ability to continue operations. As a result, the Company has concluded that management’s plans do not alleviate substantial doubt about the Company’s ability to continue as a going concern.</w:t>
      </w:r>
    </w:p>
    <w:p>
      <w:pPr>
        <w:spacing w:after="0" w:line="307" w:lineRule="exact"/>
        <w:rPr>
          <w:sz w:val="20"/>
          <w:szCs w:val="20"/>
          <w:color w:val="auto"/>
        </w:rPr>
      </w:pPr>
    </w:p>
    <w:p>
      <w:pPr>
        <w:jc w:val="both"/>
        <w:ind w:left="640" w:right="659"/>
        <w:spacing w:after="0" w:line="268" w:lineRule="auto"/>
        <w:rPr>
          <w:sz w:val="20"/>
          <w:szCs w:val="20"/>
          <w:color w:val="auto"/>
        </w:rPr>
      </w:pPr>
      <w:r>
        <w:rPr>
          <w:rFonts w:ascii="Arial" w:cs="Arial" w:eastAsia="Arial" w:hAnsi="Arial"/>
          <w:sz w:val="14"/>
          <w:szCs w:val="14"/>
          <w:color w:val="auto"/>
        </w:rPr>
        <w:t>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9" w:name="page240"/>
    <w:bookmarkEnd w:id="23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hanging="522"/>
        <w:spacing w:after="0"/>
        <w:tabs>
          <w:tab w:leader="none" w:pos="116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Basis of Presentation and Consolidation</w:t>
      </w:r>
    </w:p>
    <w:p>
      <w:pPr>
        <w:spacing w:after="0" w:line="170" w:lineRule="exact"/>
        <w:rPr>
          <w:sz w:val="20"/>
          <w:szCs w:val="20"/>
          <w:color w:val="auto"/>
        </w:rPr>
      </w:pPr>
    </w:p>
    <w:p>
      <w:pPr>
        <w:jc w:val="both"/>
        <w:ind w:left="640" w:right="639"/>
        <w:spacing w:after="0" w:line="248"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 These consolidated financial statements include the accounts of Odyssey Therapeutics, Inc. and its wholly owned subsidiaries. All intercompany transactions and balances have been eliminated in consolidation.</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70" w:lineRule="exact"/>
        <w:rPr>
          <w:sz w:val="20"/>
          <w:szCs w:val="20"/>
          <w:color w:val="auto"/>
        </w:rPr>
      </w:pPr>
    </w:p>
    <w:p>
      <w:pPr>
        <w:jc w:val="both"/>
        <w:ind w:left="640" w:right="659"/>
        <w:spacing w:after="0" w:line="244" w:lineRule="auto"/>
        <w:rPr>
          <w:sz w:val="20"/>
          <w:szCs w:val="20"/>
          <w:color w:val="auto"/>
        </w:rPr>
      </w:pPr>
      <w:r>
        <w:rPr>
          <w:rFonts w:ascii="Arial" w:cs="Arial" w:eastAsia="Arial" w:hAnsi="Arial"/>
          <w:sz w:val="14"/>
          <w:szCs w:val="14"/>
          <w:color w:val="auto"/>
        </w:rPr>
        <w:t>The preparation of consolidated financial statements in conformity with GAAP requires management to make estimates and assumptions that affect the reported amounts of assets and liabilities and related disclosures of contingent liabilities as of the date of the consolidated financial statements as well as the reported amounts of expenses during the reporting period. Actual results could differ from those estimates. Estimates are based on several factors including the facts and circumstances available at the time the estimates are made, historical experience, risk of loss, general economic conditions and trends, and the assessment of the probable future outcome. The estimates reflected in the Company’s consolidated financial statements include, but are not limited to, certain judgments regarding the fair value of the Company’s common stock, accrued expenses, research and development expenses, contingent liabilities, goodwill, intangible asset valuation and warrant liabilities. Estimates and assumptions are reviewed periodically and the effects of changes, if any, are reflected in the consolidated statements of operations and comprehensive loss in the period that they are determined.</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Foreign Currency</w:t>
      </w:r>
    </w:p>
    <w:p>
      <w:pPr>
        <w:spacing w:after="0" w:line="170"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The financial statements of the Company’s foreign subsidiaries are measured using the local currencies as the functional currencies. Assets and liabilities are translated from their functional currencies to their U.S. dollar equivalents at balance sheet date exchange rates and revenue and expenses are translated from functional currencies to U.S. dollar equivalents at average exchange rates in effect during the year. Any gain or loss from these translations is included in accumulated other comprehensive income (loss). Foreign currency transaction gains and losses are included in other income (expense), net in the consolidated statements of operations and comprehensive loss.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70" w:lineRule="exact"/>
        <w:rPr>
          <w:sz w:val="20"/>
          <w:szCs w:val="20"/>
          <w:color w:val="auto"/>
        </w:rPr>
      </w:pPr>
    </w:p>
    <w:p>
      <w:pPr>
        <w:jc w:val="both"/>
        <w:ind w:left="640" w:right="639"/>
        <w:spacing w:after="0" w:line="250" w:lineRule="auto"/>
        <w:rPr>
          <w:sz w:val="20"/>
          <w:szCs w:val="20"/>
          <w:color w:val="auto"/>
        </w:rPr>
      </w:pPr>
      <w:r>
        <w:rPr>
          <w:rFonts w:ascii="Arial" w:cs="Arial" w:eastAsia="Arial" w:hAnsi="Arial"/>
          <w:sz w:val="14"/>
          <w:szCs w:val="14"/>
          <w:color w:val="auto"/>
        </w:rPr>
        <w:t>The Company considered its organizational structure and the information regularly reviewed and evaluated by the Company’s chief operating decision maker (“CODM”) when deciding how to allocate resources and assess performance. The Company has determined that its CODM is its Chief Executive Officer (“CEO”). The CODM reviews the financial information on a consolidated basis for purposes of evaluating financial performance and allocating resources. Based on this factor, the Company determined that it operates and manages its business as a single operating segment.</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70" w:lineRule="exact"/>
        <w:rPr>
          <w:sz w:val="20"/>
          <w:szCs w:val="20"/>
          <w:color w:val="auto"/>
        </w:rPr>
      </w:pPr>
    </w:p>
    <w:p>
      <w:pPr>
        <w:jc w:val="both"/>
        <w:ind w:left="640" w:right="639"/>
        <w:spacing w:after="0" w:line="247" w:lineRule="auto"/>
        <w:rPr>
          <w:sz w:val="20"/>
          <w:szCs w:val="20"/>
          <w:color w:val="auto"/>
        </w:rPr>
      </w:pPr>
      <w:r>
        <w:rPr>
          <w:rFonts w:ascii="Arial" w:cs="Arial" w:eastAsia="Arial" w:hAnsi="Arial"/>
          <w:sz w:val="14"/>
          <w:szCs w:val="14"/>
          <w:color w:val="auto"/>
        </w:rPr>
        <w:t xml:space="preserve">ASC Topic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xml:space="preserve"> (“ASC 820”) identifies fair value as the exchange price, or exit price, representing the amount that would be received to sell an asset or paid to transfer a liability in an orderly transaction between market participants, or in the absence of a principal market, the most advantageous market for the investment or liability. As a basis for considering market participant assumptions in fair value measurements, ASC 820 establishes a three-tier fair value hierarchy that gives the highest priority to unadjusted quoted prices in active markets for identical assets or liabilities (Level 1) and the lowest priority to unobservable inputs (Level 3). The three levels of the fair value hierarchy are as follows:</w:t>
      </w:r>
    </w:p>
    <w:p>
      <w:pPr>
        <w:spacing w:after="0" w:line="305" w:lineRule="exact"/>
        <w:rPr>
          <w:sz w:val="20"/>
          <w:szCs w:val="20"/>
          <w:color w:val="auto"/>
        </w:rPr>
      </w:pPr>
    </w:p>
    <w:p>
      <w:pPr>
        <w:ind w:left="1160" w:hanging="264"/>
        <w:spacing w:after="0"/>
        <w:tabs>
          <w:tab w:leader="none" w:pos="11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Level 1 inputs are quoted prices (unadjusted) in active markets for identical assets or liabilities.</w:t>
      </w:r>
    </w:p>
    <w:p>
      <w:pPr>
        <w:spacing w:after="0" w:line="182" w:lineRule="exact"/>
        <w:rPr>
          <w:rFonts w:ascii="Times New Roman" w:cs="Times New Roman" w:eastAsia="Times New Roman" w:hAnsi="Times New Roman"/>
          <w:sz w:val="14"/>
          <w:szCs w:val="14"/>
          <w:color w:val="auto"/>
        </w:rPr>
      </w:pPr>
    </w:p>
    <w:p>
      <w:pPr>
        <w:ind w:left="1160" w:right="659" w:hanging="264"/>
        <w:spacing w:after="0" w:line="281" w:lineRule="auto"/>
        <w:tabs>
          <w:tab w:leader="none" w:pos="11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Level 2 inputs are inputs other than quoted prices included within Level 1 that are observable for the asset or liability, either directly or indirectly.</w:t>
      </w:r>
    </w:p>
    <w:p>
      <w:pPr>
        <w:spacing w:after="0" w:line="116" w:lineRule="exact"/>
        <w:rPr>
          <w:rFonts w:ascii="Times New Roman" w:cs="Times New Roman" w:eastAsia="Times New Roman" w:hAnsi="Times New Roman"/>
          <w:sz w:val="14"/>
          <w:szCs w:val="14"/>
          <w:color w:val="auto"/>
        </w:rPr>
      </w:pPr>
    </w:p>
    <w:p>
      <w:pPr>
        <w:jc w:val="both"/>
        <w:ind w:left="1160" w:right="659" w:hanging="264"/>
        <w:spacing w:after="0" w:line="260" w:lineRule="auto"/>
        <w:tabs>
          <w:tab w:leader="none" w:pos="11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0" w:name="page241"/>
    <w:bookmarkEnd w:id="24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70"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The Company considers all highly liquid investments that are readily convertible into cash with original maturities of three months or less at the date of purchase to be cash equivalents. The Company maintains its cash in bank deposit accounts which, at times, may exceed the federal insurance limit. The Company invests excess cash primarily in overnight cash sweeps, money market funds, U.S. Treasury bills and U.S. Treasury notes, which are highly liquid and have strong credit ratings. These investments are subject to minimal credit and market risks.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70" w:lineRule="exact"/>
        <w:rPr>
          <w:sz w:val="20"/>
          <w:szCs w:val="20"/>
          <w:color w:val="auto"/>
        </w:rPr>
      </w:pPr>
    </w:p>
    <w:p>
      <w:pPr>
        <w:jc w:val="both"/>
        <w:ind w:left="640" w:right="659"/>
        <w:spacing w:after="0" w:line="245" w:lineRule="auto"/>
        <w:rPr>
          <w:sz w:val="20"/>
          <w:szCs w:val="20"/>
          <w:color w:val="auto"/>
        </w:rPr>
      </w:pPr>
      <w:r>
        <w:rPr>
          <w:rFonts w:ascii="Arial" w:cs="Arial" w:eastAsia="Arial" w:hAnsi="Arial"/>
          <w:sz w:val="14"/>
          <w:szCs w:val="14"/>
          <w:color w:val="auto"/>
        </w:rPr>
        <w:t>The Company’s investment strategy is focused on capital preservation. The Company invests in instruments that meet the credit quality standards outlined in the Company’s investment policy. Short-term marketable securities consist of investments in debt securities with original maturities greater than three months and remaining maturities of less than one year from the balance sheet date. The Company classifies all of its marketable securities as available-for-sale. Accordingly, these investments are recorded at fair value. Fair value is determined based on quoted market prices. Accretion of discounts and amortization of premiums are recorded within interest income on the consolidated statements of operations and comprehensive loss. Realized gains and losses are recorded within other income (expense), net on the consolidated statements of operations and comprehensive loss. Unrealized gains and losses are included in other comprehensive (loss) income on the consolidated statements of operations and comprehensive loss.</w:t>
      </w:r>
    </w:p>
    <w:p>
      <w:pPr>
        <w:spacing w:after="0" w:line="142"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 xml:space="preserve">The Company assesses its available-for-sale debt securities under the available-for-sale debt security impairment model in ASC Topic 326,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a component of other income (expense), net which is limited to the difference between the fair value and the amortized cost of the security. To date, the Company has not recorded any credit losses on its available-for-sale debt securities.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70"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The Company classifies all cash of which use is limited by contractual provisions as restricted cash. Restricted cash of $3.2 million is recorded in other non-current assets in the consolidated balance sheets as of December 31, 2025 and 2024 and includes amounts held as a security deposit for letters of credit issued by banks in favor of the Company in connection with leased facilities and credit card collateral.</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70"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Property and equipment, net is stated at cost, less accumulated depreciation and amortization and consist of laboratory equipment, furniture and office equipment, computer equipment and leasehold improvements. The Company capitalizes property and equipment that is acquired for research and development activities and that has an alternate future use. Expenditures for maintenance and repairs are recorded to expense as incurred. Leasehold improvements are depreciated over the lesser of their useful life or the term of the lease. Upon the sale or retirement of assets, the cost and related accumulated depreciation are removed from the consolidated balance sheets and the resulting gain or loss is reflected in the consolidated statements of operations and comprehensive loss. Depreciation is calculated over the estimated useful lives of the assets using the straight-line method as follows:</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Computer hardware and software</w:t>
            </w:r>
          </w:p>
        </w:tc>
        <w:tc>
          <w:tcPr>
            <w:tcW w:w="4800" w:type="dxa"/>
            <w:vAlign w:val="bottom"/>
            <w:shd w:val="clear" w:color="auto" w:fill="CFF0FC"/>
          </w:tcPr>
          <w:p>
            <w:pPr>
              <w:jc w:val="center"/>
              <w:ind w:left="2408"/>
              <w:spacing w:after="0"/>
              <w:rPr>
                <w:sz w:val="20"/>
                <w:szCs w:val="20"/>
                <w:color w:val="auto"/>
              </w:rPr>
            </w:pPr>
            <w:r>
              <w:rPr>
                <w:rFonts w:ascii="Arial" w:cs="Arial" w:eastAsia="Arial" w:hAnsi="Arial"/>
                <w:sz w:val="14"/>
                <w:szCs w:val="14"/>
                <w:color w:val="auto"/>
              </w:rPr>
              <w:t>3 years</w:t>
            </w:r>
          </w:p>
        </w:tc>
        <w:tc>
          <w:tcPr>
            <w:tcW w:w="520" w:type="dxa"/>
            <w:vAlign w:val="bottom"/>
          </w:tcPr>
          <w:p>
            <w:pPr>
              <w:spacing w:after="0"/>
              <w:rPr>
                <w:sz w:val="14"/>
                <w:szCs w:val="14"/>
                <w:color w:val="auto"/>
              </w:rPr>
            </w:pPr>
          </w:p>
        </w:tc>
      </w:tr>
      <w:tr>
        <w:trPr>
          <w:trHeight w:val="161"/>
        </w:trPr>
        <w:tc>
          <w:tcPr>
            <w:tcW w:w="5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Furniture, fixtures and equipment</w:t>
            </w:r>
          </w:p>
        </w:tc>
        <w:tc>
          <w:tcPr>
            <w:tcW w:w="4800" w:type="dxa"/>
            <w:vAlign w:val="bottom"/>
          </w:tcPr>
          <w:p>
            <w:pPr>
              <w:jc w:val="center"/>
              <w:ind w:left="2408"/>
              <w:spacing w:after="0"/>
              <w:rPr>
                <w:sz w:val="20"/>
                <w:szCs w:val="20"/>
                <w:color w:val="auto"/>
              </w:rPr>
            </w:pPr>
            <w:r>
              <w:rPr>
                <w:rFonts w:ascii="Arial" w:cs="Arial" w:eastAsia="Arial" w:hAnsi="Arial"/>
                <w:sz w:val="14"/>
                <w:szCs w:val="14"/>
                <w:color w:val="auto"/>
              </w:rPr>
              <w:t>5 years</w:t>
            </w:r>
          </w:p>
        </w:tc>
        <w:tc>
          <w:tcPr>
            <w:tcW w:w="520" w:type="dxa"/>
            <w:vAlign w:val="bottom"/>
          </w:tcPr>
          <w:p>
            <w:pPr>
              <w:spacing w:after="0"/>
              <w:rPr>
                <w:sz w:val="14"/>
                <w:szCs w:val="14"/>
                <w:color w:val="auto"/>
              </w:rPr>
            </w:pPr>
          </w:p>
        </w:tc>
      </w:tr>
      <w:tr>
        <w:trPr>
          <w:trHeight w:val="161"/>
        </w:trPr>
        <w:tc>
          <w:tcPr>
            <w:tcW w:w="520" w:type="dxa"/>
            <w:vAlign w:val="bottom"/>
          </w:tcPr>
          <w:p>
            <w:pPr>
              <w:spacing w:after="0"/>
              <w:rPr>
                <w:sz w:val="14"/>
                <w:szCs w:val="14"/>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Laboratory equipment</w:t>
            </w:r>
          </w:p>
        </w:tc>
        <w:tc>
          <w:tcPr>
            <w:tcW w:w="4800" w:type="dxa"/>
            <w:vAlign w:val="bottom"/>
            <w:shd w:val="clear" w:color="auto" w:fill="CFF0FC"/>
          </w:tcPr>
          <w:p>
            <w:pPr>
              <w:jc w:val="center"/>
              <w:ind w:left="2408"/>
              <w:spacing w:after="0"/>
              <w:rPr>
                <w:sz w:val="20"/>
                <w:szCs w:val="20"/>
                <w:color w:val="auto"/>
              </w:rPr>
            </w:pPr>
            <w:r>
              <w:rPr>
                <w:rFonts w:ascii="Arial" w:cs="Arial" w:eastAsia="Arial" w:hAnsi="Arial"/>
                <w:sz w:val="14"/>
                <w:szCs w:val="14"/>
                <w:color w:val="auto"/>
              </w:rPr>
              <w:t>5 years</w:t>
            </w:r>
          </w:p>
        </w:tc>
        <w:tc>
          <w:tcPr>
            <w:tcW w:w="520" w:type="dxa"/>
            <w:vAlign w:val="bottom"/>
          </w:tcPr>
          <w:p>
            <w:pPr>
              <w:spacing w:after="0"/>
              <w:rPr>
                <w:sz w:val="14"/>
                <w:szCs w:val="14"/>
                <w:color w:val="auto"/>
              </w:rPr>
            </w:pPr>
          </w:p>
        </w:tc>
      </w:tr>
      <w:tr>
        <w:trPr>
          <w:trHeight w:val="190"/>
        </w:trPr>
        <w:tc>
          <w:tcPr>
            <w:tcW w:w="52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Leasehold improvements</w:t>
            </w:r>
          </w:p>
        </w:tc>
        <w:tc>
          <w:tcPr>
            <w:tcW w:w="4800" w:type="dxa"/>
            <w:vAlign w:val="bottom"/>
          </w:tcPr>
          <w:p>
            <w:pPr>
              <w:jc w:val="center"/>
              <w:ind w:left="2408"/>
              <w:spacing w:after="0"/>
              <w:rPr>
                <w:sz w:val="20"/>
                <w:szCs w:val="20"/>
                <w:color w:val="auto"/>
              </w:rPr>
            </w:pPr>
            <w:r>
              <w:rPr>
                <w:rFonts w:ascii="Arial" w:cs="Arial" w:eastAsia="Arial" w:hAnsi="Arial"/>
                <w:sz w:val="14"/>
                <w:szCs w:val="14"/>
                <w:color w:val="auto"/>
              </w:rPr>
              <w:t>Shorter of useful life or life of lease</w:t>
            </w:r>
          </w:p>
        </w:tc>
        <w:tc>
          <w:tcPr>
            <w:tcW w:w="520" w:type="dxa"/>
            <w:vAlign w:val="bottom"/>
          </w:tcPr>
          <w:p>
            <w:pPr>
              <w:spacing w:after="0"/>
              <w:rPr>
                <w:sz w:val="16"/>
                <w:szCs w:val="16"/>
                <w:color w:val="auto"/>
              </w:rPr>
            </w:pPr>
          </w:p>
        </w:tc>
      </w:tr>
      <w:tr>
        <w:trPr>
          <w:trHeight w:val="404"/>
        </w:trPr>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320" w:type="dxa"/>
            <w:vAlign w:val="bottom"/>
            <w:gridSpan w:val="2"/>
          </w:tcPr>
          <w:p>
            <w:pPr>
              <w:ind w:left="820"/>
              <w:spacing w:after="0"/>
              <w:rPr>
                <w:sz w:val="20"/>
                <w:szCs w:val="20"/>
                <w:color w:val="auto"/>
              </w:rPr>
            </w:pPr>
            <w:r>
              <w:rPr>
                <w:rFonts w:ascii="Arial" w:cs="Arial" w:eastAsia="Arial" w:hAnsi="Arial"/>
                <w:sz w:val="14"/>
                <w:szCs w:val="14"/>
                <w:color w:val="auto"/>
              </w:rPr>
              <w:t>F-9</w:t>
            </w:r>
          </w:p>
        </w:tc>
      </w:tr>
      <w:tr>
        <w:trPr>
          <w:trHeight w:val="589"/>
        </w:trPr>
        <w:tc>
          <w:tcPr>
            <w:tcW w:w="5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1" w:name="page242"/>
    <w:bookmarkEnd w:id="24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70" w:lineRule="exact"/>
        <w:rPr>
          <w:sz w:val="20"/>
          <w:szCs w:val="20"/>
          <w:color w:val="auto"/>
        </w:rPr>
      </w:pPr>
    </w:p>
    <w:p>
      <w:pPr>
        <w:jc w:val="both"/>
        <w:ind w:left="640" w:right="659"/>
        <w:spacing w:after="0" w:line="242" w:lineRule="auto"/>
        <w:rPr>
          <w:sz w:val="20"/>
          <w:szCs w:val="20"/>
          <w:color w:val="auto"/>
        </w:rPr>
      </w:pPr>
      <w:r>
        <w:rPr>
          <w:rFonts w:ascii="Arial" w:cs="Arial" w:eastAsia="Arial" w:hAnsi="Arial"/>
          <w:sz w:val="14"/>
          <w:szCs w:val="14"/>
          <w:color w:val="auto"/>
        </w:rPr>
        <w:t xml:space="preserve">The Company recognizes revenue in accordance with ASC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(“ASC 606”). 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it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As part of the assessment, the Company must develop assumptions that require judgment to determine the standalone selling price for each performance obligation identified in the contract. The Company uses key assumptions to determine the standalone selling price, which may include reimbursement rates for personnel costs, development timelines and probabilities of regulatory success. The Company does not assess whether a contract has a significant financing component if the expectation at contract inception is that the period between payment by the customer and the transfer of promised goods or services to the customer will be one year or less.</w:t>
      </w:r>
    </w:p>
    <w:p>
      <w:pPr>
        <w:spacing w:after="0" w:line="149"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Arrangements that include upfront payments may require deferral of revenue recognition to a future period until obligations under these arrangements are fulfilled. Event-based milestone payments represent variable consideration and the Company uses the “most likely amount” method to estimate this variable consideration. If there is a high degree of uncertainty associated with the variable consideration, it is constrained until the uncertainty is resolved. Revenue will be recognized from sales-based royalty payments when or as the sales occur. The Company will re-evaluate the transaction price in each reporting period as uncertain events are resolved and other changes in circumstances occur.</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Acquisitions</w:t>
      </w:r>
    </w:p>
    <w:p>
      <w:pPr>
        <w:spacing w:after="0" w:line="170" w:lineRule="exact"/>
        <w:rPr>
          <w:sz w:val="20"/>
          <w:szCs w:val="20"/>
          <w:color w:val="auto"/>
        </w:rPr>
      </w:pPr>
    </w:p>
    <w:p>
      <w:pPr>
        <w:ind w:left="640" w:right="779"/>
        <w:spacing w:after="0" w:line="245" w:lineRule="auto"/>
        <w:rPr>
          <w:sz w:val="20"/>
          <w:szCs w:val="20"/>
          <w:color w:val="auto"/>
        </w:rPr>
      </w:pPr>
      <w:r>
        <w:rPr>
          <w:rFonts w:ascii="Arial" w:cs="Arial" w:eastAsia="Arial" w:hAnsi="Arial"/>
          <w:sz w:val="14"/>
          <w:szCs w:val="14"/>
          <w:color w:val="auto"/>
        </w:rPr>
        <w:t xml:space="preserve">The Company evaluates each of its acquisitions under the accounting framework in ASC Topic 805,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Combinations </w:t>
      </w:r>
      <w:r>
        <w:rPr>
          <w:rFonts w:ascii="Arial" w:cs="Arial" w:eastAsia="Arial" w:hAnsi="Arial"/>
          <w:sz w:val="14"/>
          <w:szCs w:val="14"/>
          <w:color w:val="auto"/>
        </w:rPr>
        <w:t>(“ASC 805”), to determine whether the transaction is a business combination or an asset acquisition. In</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determining whether an acquisition should be accounted for as a business combination or an asset acquisition, the Company first performs a screen test. The acquisition is not deemed to be a business combination and is instead accounted for as an asset acquisition if substantially all of the fair value of the gross assets acquired is concentrated in a single identifiable asset or a group of similar identifiable assets. If the transaction is not deemed to be an asset acquisition, the Company then further evaluates whether the acquisition includes, at a minimum, an input and a substantive process that together significantly contributes to the ability to create outputs. If so, the Company concludes that the acquisition is a business combination.</w:t>
      </w:r>
    </w:p>
    <w:p>
      <w:pPr>
        <w:spacing w:after="0" w:line="142" w:lineRule="exact"/>
        <w:rPr>
          <w:sz w:val="20"/>
          <w:szCs w:val="20"/>
          <w:color w:val="auto"/>
        </w:rPr>
      </w:pPr>
    </w:p>
    <w:p>
      <w:pPr>
        <w:ind w:left="640" w:right="719"/>
        <w:spacing w:after="0" w:line="247" w:lineRule="auto"/>
        <w:rPr>
          <w:sz w:val="20"/>
          <w:szCs w:val="20"/>
          <w:color w:val="auto"/>
        </w:rPr>
      </w:pPr>
      <w:r>
        <w:rPr>
          <w:rFonts w:ascii="Arial" w:cs="Arial" w:eastAsia="Arial" w:hAnsi="Arial"/>
          <w:sz w:val="14"/>
          <w:szCs w:val="14"/>
          <w:color w:val="auto"/>
        </w:rPr>
        <w:t>The Company accounts for business combinations using the acquisition method of accounting.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which is not amortized for accounting purposes but is subject to testing for impairment at least annually. Determining the fair value of assets acquired and liabilities assumed in a business combination requires management to use significant judgment and estimates.</w:t>
      </w:r>
    </w:p>
    <w:p>
      <w:pPr>
        <w:spacing w:after="0" w:line="140" w:lineRule="exact"/>
        <w:rPr>
          <w:sz w:val="20"/>
          <w:szCs w:val="20"/>
          <w:color w:val="auto"/>
        </w:rPr>
      </w:pPr>
    </w:p>
    <w:p>
      <w:pPr>
        <w:ind w:left="640" w:right="879"/>
        <w:spacing w:after="0" w:line="254" w:lineRule="auto"/>
        <w:rPr>
          <w:sz w:val="20"/>
          <w:szCs w:val="20"/>
          <w:color w:val="auto"/>
        </w:rPr>
      </w:pPr>
      <w:r>
        <w:rPr>
          <w:rFonts w:ascii="Arial" w:cs="Arial" w:eastAsia="Arial" w:hAnsi="Arial"/>
          <w:sz w:val="14"/>
          <w:szCs w:val="14"/>
          <w:color w:val="auto"/>
        </w:rPr>
        <w:t>For asset acquisitions, the transactions are accounted for under ASC 805, and no goodwill is recognized. Rather, the Company recognizes the identifiable assets acquired (excluding goodwill) and the liabilities assumed and recognizes a gain or loss for the difference between (a) the sum of the fair values of consideration paid (including any contingent consideration) and (b) the fair value of the identifiable assets and liabilities. Acquired in-process research and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2" w:name="page243"/>
    <w:bookmarkEnd w:id="24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699"/>
        <w:spacing w:after="0" w:line="282" w:lineRule="auto"/>
        <w:rPr>
          <w:sz w:val="20"/>
          <w:szCs w:val="20"/>
          <w:color w:val="auto"/>
        </w:rPr>
      </w:pPr>
      <w:r>
        <w:rPr>
          <w:rFonts w:ascii="Arial" w:cs="Arial" w:eastAsia="Arial" w:hAnsi="Arial"/>
          <w:sz w:val="14"/>
          <w:szCs w:val="14"/>
          <w:color w:val="auto"/>
        </w:rPr>
        <w:t>development (“IPR&amp;D”) with no alternative future use is charged to research and development expense on the acquisition date.</w:t>
      </w:r>
    </w:p>
    <w:p>
      <w:pPr>
        <w:spacing w:after="0" w:line="116" w:lineRule="exact"/>
        <w:rPr>
          <w:sz w:val="20"/>
          <w:szCs w:val="20"/>
          <w:color w:val="auto"/>
        </w:rPr>
      </w:pPr>
    </w:p>
    <w:p>
      <w:pPr>
        <w:ind w:left="640" w:right="839"/>
        <w:spacing w:after="0" w:line="261" w:lineRule="auto"/>
        <w:rPr>
          <w:sz w:val="20"/>
          <w:szCs w:val="20"/>
          <w:color w:val="auto"/>
        </w:rPr>
      </w:pPr>
      <w:r>
        <w:rPr>
          <w:rFonts w:ascii="Arial" w:cs="Arial" w:eastAsia="Arial" w:hAnsi="Arial"/>
          <w:sz w:val="14"/>
          <w:szCs w:val="14"/>
          <w:color w:val="auto"/>
        </w:rPr>
        <w:t>Acquisition-related expenses incurred by the Company in business combinations are not included as a component of consideration transferred but are accounted for as an expense in the period in which the costs are incurred. There were no acquisitions during the years ended December 31, 2025 and 2024.</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70"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The Company reviews its property and equipment, right-of-use assets, and intangible assets whenever events or changes in circumstances indicate that the carrying value of certain assets might not be recoverable and recognizes an impairment loss when it is probable that an asset’s realizable value is less than the carrying value. Indicators of potential impairment include significant changes in planned research and development activities, significant adverse clinical, regulatory, or operational developments, significant negative industry or economic trends, and significant changes or planned changes in the expected use of the assets. The Company recognized an impairment charge of $5.4 million to its right-of-use assets for the year ended December 31, 2025 (See Note 9). No impairment charge was recognized for the year ended December 31, 2024.</w:t>
      </w:r>
    </w:p>
    <w:p>
      <w:pPr>
        <w:spacing w:after="0" w:line="30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Goodwill</w:t>
      </w:r>
    </w:p>
    <w:p>
      <w:pPr>
        <w:spacing w:after="0" w:line="170"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Goodwill is not amortized but is instead tested for impairment at least annually and whenever events or circumstances indicate that it is more likely-than-not that goodwill may be impaired. The Company has elected to perform the annual test for goodwill impairment as of October 1 each year. No impairment charges were recognized for the years ended December 31, 2025 and 2024.</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Intangible Asset</w:t>
      </w:r>
    </w:p>
    <w:p>
      <w:pPr>
        <w:spacing w:after="0" w:line="170"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Company’s intangible asset is comprised of purchased developed technology. The intangible asset is carried at cost, net of accumulated amortization. Amortization is recorded on a straight-line basis over the intangible asset’s useful life, which is five years. No impairment charges were recognized for the years ended December 31, 2025 and 2024.</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Contingent Consideration</w:t>
      </w:r>
    </w:p>
    <w:p>
      <w:pPr>
        <w:spacing w:after="0" w:line="170"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Contingent consideration payable is measured and recorded at fair value on the acquisition date as part of the allocation of the purchase consideration. The fair value of contingent obligations to make additional payments is determined based on assumptions regarding the achievement of development and regulatory milestones, and the occurrence of other qualifying events, with changes in fair value reflected in the consolidated statement of operations and comprehensive loss as a component of operating expenses. The determination of fair value requires management to use subjective judgments as to the probability and timing of a qualifying event, and development and regulatory milestones. The determination of the fair value of contingent considerations obligation is particularly sensitive to judgments relative to the probability of achieving the specified development and regulatory milestones, and the occurrence of a qualifying event.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70" w:lineRule="exact"/>
        <w:rPr>
          <w:sz w:val="20"/>
          <w:szCs w:val="20"/>
          <w:color w:val="auto"/>
        </w:rPr>
      </w:pPr>
    </w:p>
    <w:p>
      <w:pPr>
        <w:jc w:val="both"/>
        <w:ind w:left="640" w:right="659"/>
        <w:spacing w:after="0" w:line="244" w:lineRule="auto"/>
        <w:rPr>
          <w:sz w:val="20"/>
          <w:szCs w:val="20"/>
          <w:color w:val="auto"/>
        </w:rPr>
      </w:pPr>
      <w:r>
        <w:rPr>
          <w:rFonts w:ascii="Arial" w:cs="Arial" w:eastAsia="Arial" w:hAnsi="Arial"/>
          <w:sz w:val="14"/>
          <w:szCs w:val="14"/>
          <w:color w:val="auto"/>
        </w:rPr>
        <w:t xml:space="preserve">The Company accounts for stock-based compensation under the provisions of ASC Topic 718, </w:t>
      </w:r>
      <w:r>
        <w:rPr>
          <w:rFonts w:ascii="Arial" w:cs="Arial" w:eastAsia="Arial" w:hAnsi="Arial"/>
          <w:sz w:val="14"/>
          <w:szCs w:val="14"/>
          <w:i w:val="1"/>
          <w:iCs w:val="1"/>
          <w:color w:val="auto"/>
        </w:rPr>
        <w:t>Compensation-Stock</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The Company periodically grants stock options and restricted stock awards to employees and non-employees. Compensation expense is measured at estimated fair value on the grant date, and is included as compensation expense over the requisite service period. Time-based awards are expensed on a straight-line basis over the vesting period. Performance-based awards are expensed over the requisite service period beginning when the performance condition is considered probable of achievement. Compensation expense for awards to non-employees is recognized in the same manner as if the Company had paid cash in exchange for the goods or services, which is generally over the vesting period of the award. Forfeitures are accounted for as they occur. The Company classifies stock-based compensation expense in the consolidated statements of operations and comprehensive loss in the same manner in which the award recipients’ payroll costs are classified or in which the award recipients’ service payments are classified.</w:t>
      </w:r>
    </w:p>
    <w:p>
      <w:pPr>
        <w:spacing w:after="0" w:line="146"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is measured on the date of grant at the estimated fair value of the common stock.</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3" w:name="page244"/>
    <w:bookmarkEnd w:id="24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 xml:space="preserve">Because there has not historically been a public market for the Company’s common stock, the estimated fair value of common stock was determined by the Company’s Board of Directors as of the date of each option grant, with inputs from management, considering third-party valuations of its common stock as well as the Company’s Board of Directors’ assessment of additional objective and subjective factors that it believed were relevant. These third-party valuations were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 Held Company Equity Securities Issued as Compensation</w:t>
      </w:r>
      <w:r>
        <w:rPr>
          <w:rFonts w:ascii="Arial" w:cs="Arial" w:eastAsia="Arial" w:hAnsi="Arial"/>
          <w:sz w:val="14"/>
          <w:szCs w:val="14"/>
          <w:color w:val="auto"/>
        </w:rPr>
        <w:t>.</w:t>
      </w:r>
    </w:p>
    <w:p>
      <w:pPr>
        <w:spacing w:after="0" w:line="140"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The Company estimates its expected stock price volatility based on the historical volatility of publicly traded peer companies. The expected term of the Company’s stock options has been determined utilizing the “simplified” method. The risk-free interest rate is determined by reference to the U.S. Treasury yield curve in effect at the time of grant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Leases</w:t>
      </w:r>
    </w:p>
    <w:p>
      <w:pPr>
        <w:spacing w:after="0" w:line="170" w:lineRule="exact"/>
        <w:rPr>
          <w:sz w:val="20"/>
          <w:szCs w:val="20"/>
          <w:color w:val="auto"/>
        </w:rPr>
      </w:pPr>
    </w:p>
    <w:p>
      <w:pPr>
        <w:jc w:val="both"/>
        <w:ind w:left="640" w:right="639"/>
        <w:spacing w:after="0" w:line="246" w:lineRule="auto"/>
        <w:rPr>
          <w:sz w:val="20"/>
          <w:szCs w:val="20"/>
          <w:color w:val="auto"/>
        </w:rPr>
      </w:pPr>
      <w:r>
        <w:rPr>
          <w:rFonts w:ascii="Arial" w:cs="Arial" w:eastAsia="Arial" w:hAnsi="Arial"/>
          <w:sz w:val="14"/>
          <w:szCs w:val="14"/>
          <w:color w:val="auto"/>
        </w:rPr>
        <w:t>At the inception of an arrangement, the Company determines whether the arrangement is or contains a lease based on the facts and circumstances present in the arrangement including the use of an identified asset(s) and the Company’s control over the use of that identified asset. If both criteria are met, the Company records the associated lease liability and corresponding right-of-use asset upon commencement of the lease using the implicit rate or, if the rate implicit on the lease is not reasonably determinable, a discount rate based on a credit-adjusted secured borrowing rate commensurate with the term of the lease. The Company has elected to not recognize on its consolidated balance sheet leases with a lease term of one year or less. Leases with a term greater than one year are recognized on the consolidated balance sheet as right-of-use assets and current and noncurrent operating lease liabilities, as applicable.</w:t>
      </w:r>
    </w:p>
    <w:p>
      <w:pPr>
        <w:spacing w:after="0" w:line="140" w:lineRule="exact"/>
        <w:rPr>
          <w:sz w:val="20"/>
          <w:szCs w:val="20"/>
          <w:color w:val="auto"/>
        </w:rPr>
      </w:pPr>
    </w:p>
    <w:p>
      <w:pPr>
        <w:jc w:val="both"/>
        <w:ind w:left="640" w:right="659"/>
        <w:spacing w:after="0" w:line="247" w:lineRule="auto"/>
        <w:rPr>
          <w:sz w:val="20"/>
          <w:szCs w:val="20"/>
          <w:color w:val="auto"/>
        </w:rPr>
      </w:pPr>
      <w:r>
        <w:rPr>
          <w:rFonts w:ascii="Arial" w:cs="Arial" w:eastAsia="Arial" w:hAnsi="Arial"/>
          <w:sz w:val="14"/>
          <w:szCs w:val="14"/>
          <w:color w:val="auto"/>
        </w:rPr>
        <w:t>The Company evaluates the classification of its leases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p>
    <w:p>
      <w:pPr>
        <w:spacing w:after="0" w:line="140"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Operating lease liabilities and their corresponding operating lease right-of-use assets are initially recorded based on the present value of lease payments over the expected remaining lease term. Since the Company does not have insight into the relevant information that would be required to arrive at the rate implicit in the lease, the Company utilizes an estimated incremental borrowing rate to determine the discount rate. The incremental borrowing rate is a hypothetical rate based on the Company’s understanding of what its credit rating would be, adjusted to reflect a collateralized borrowing.</w:t>
      </w:r>
    </w:p>
    <w:p>
      <w:pPr>
        <w:spacing w:after="0" w:line="139"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Certain adjustments to the right-of-use assets may be required for items such as lease incentives received. The Company typically only includes the initial noncancellable period in its assessment of a lease term. Options to extend a lease are not included in its assessment unless there is reasonable certainty that the Company will exercise its option to renew. The Company monitors its plans to renew its material leases based on current economic factors and as circumstances may change.</w:t>
      </w:r>
    </w:p>
    <w:p>
      <w:pPr>
        <w:spacing w:after="0" w:line="139"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 xml:space="preserve">The Company has elected the practical expedient in ASC 842, </w:t>
      </w:r>
      <w:r>
        <w:rPr>
          <w:rFonts w:ascii="Arial" w:cs="Arial" w:eastAsia="Arial" w:hAnsi="Arial"/>
          <w:sz w:val="14"/>
          <w:szCs w:val="14"/>
          <w:i w:val="1"/>
          <w:iCs w:val="1"/>
          <w:color w:val="auto"/>
        </w:rPr>
        <w:t>Leases</w:t>
      </w:r>
      <w:r>
        <w:rPr>
          <w:rFonts w:ascii="Arial" w:cs="Arial" w:eastAsia="Arial" w:hAnsi="Arial"/>
          <w:sz w:val="14"/>
          <w:szCs w:val="14"/>
          <w:color w:val="auto"/>
        </w:rPr>
        <w:t>, to not separate lease and non-lease components (e.g., common area maintenance) and is applying this expedient to leases of all underlying asset classes. Lease cost for operating leases is recognized on a straight-line basis over the lease term as an operating expense. Variable lease costs, including non-fixed common area maintenance, utilities and other lease operating costs are expensed as incurred as operating expenses.</w:t>
      </w:r>
    </w:p>
    <w:p>
      <w:pPr>
        <w:spacing w:after="0" w:line="139"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carrying value of the Company’s right-of-use assets is substantially concentrated in the leasing of office and laboratory space, and equipment.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Warrants</w:t>
      </w:r>
    </w:p>
    <w:p>
      <w:pPr>
        <w:spacing w:after="0" w:line="81"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 xml:space="preserve">The Company accounts for issued warrants as either a liability or equity in accordance with ASC Topic 480-10, </w:t>
      </w:r>
      <w:r>
        <w:rPr>
          <w:rFonts w:ascii="Arial" w:cs="Arial" w:eastAsia="Arial" w:hAnsi="Arial"/>
          <w:sz w:val="14"/>
          <w:szCs w:val="14"/>
          <w:i w:val="1"/>
          <w:iCs w:val="1"/>
          <w:color w:val="auto"/>
        </w:rPr>
        <w:t xml:space="preserve">Accounting for Certain Financial Instruments with Characteristics of both Liabilities and Equity </w:t>
      </w:r>
      <w:r>
        <w:rPr>
          <w:rFonts w:ascii="Arial" w:cs="Arial" w:eastAsia="Arial" w:hAnsi="Arial"/>
          <w:sz w:val="14"/>
          <w:szCs w:val="14"/>
          <w:color w:val="auto"/>
        </w:rPr>
        <w:t>(“ASC 480-10”) or ASC</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Topic 815-40, </w:t>
      </w:r>
      <w:r>
        <w:rPr>
          <w:rFonts w:ascii="Arial" w:cs="Arial" w:eastAsia="Arial" w:hAnsi="Arial"/>
          <w:sz w:val="14"/>
          <w:szCs w:val="14"/>
          <w:i w:val="1"/>
          <w:iCs w:val="1"/>
          <w:color w:val="auto"/>
        </w:rPr>
        <w:t>Accounting for Derivative Financial Instruments Indexed to, and Potentially Settled in, a Company’s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Stock </w:t>
      </w:r>
      <w:r>
        <w:rPr>
          <w:rFonts w:ascii="Arial" w:cs="Arial" w:eastAsia="Arial" w:hAnsi="Arial"/>
          <w:sz w:val="14"/>
          <w:szCs w:val="14"/>
          <w:color w:val="auto"/>
        </w:rPr>
        <w:t>(“ASC 815-40”).</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4" w:name="page245"/>
    <w:bookmarkEnd w:id="24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640" w:right="639"/>
        <w:spacing w:after="0" w:line="244" w:lineRule="auto"/>
        <w:rPr>
          <w:sz w:val="20"/>
          <w:szCs w:val="20"/>
          <w:color w:val="auto"/>
        </w:rPr>
      </w:pPr>
      <w:r>
        <w:rPr>
          <w:rFonts w:ascii="Arial" w:cs="Arial" w:eastAsia="Arial" w:hAnsi="Arial"/>
          <w:sz w:val="14"/>
          <w:szCs w:val="14"/>
          <w:color w:val="auto"/>
        </w:rPr>
        <w:t>Freestanding warrants related to shares that are mandatorily redeemable, require the Company to settle the warrants or the underlying shares by paying cash or other assets, or may require settlement by issuing a variable number of shares, are classified as liabilities on the Company’s consolidated balance sheets. Liability classified warrants are initially recorded at fair value on the date of issuance and are subsequently remeasured to fair value at each balance sheet date. Changes in the fair value of these warrants are recognized as a component of other expense, net in the Company’s consolidated statements of operations and comprehensive loss. The Company will continue to adjust the liability for changes in fair value until the earlier of the exercise or expiration of the warrants, or if and when the warrants meet the criteria for equity classification. The Company classifies the liabilities as other noncurrent liabilities in the accompanying audited consolidated balance sheets as the settlement of the warrants is not expected within the next twelve months. Warrants that meet the criteria to be accounted for as equity are recorded on the issuance date within additional paid-in capital and no changes in fair value are recognized after the issuance date.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Convertible Preferred Stock</w:t>
      </w:r>
    </w:p>
    <w:p>
      <w:pPr>
        <w:spacing w:after="0" w:line="170"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The Company has classified its convertible preferred stock as temporary equity in the accompanying consolidated balance sheets due to terms that allow for redemption of the shares in cash upon certain changes in control events or deemed liquidation events that are outside of the Company’s control. The Company did not accrete the carrying values of the convertible preferred stock to the redemption values since a change in control event was not considered probable of occurring as of December 31, 2025. Subsequent adjustments of the carrying values to the ultimate redemption values will be made only when it becomes probable that such a change in control event will occur.</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70" w:lineRule="exact"/>
        <w:rPr>
          <w:sz w:val="20"/>
          <w:szCs w:val="20"/>
          <w:color w:val="auto"/>
        </w:rPr>
      </w:pPr>
    </w:p>
    <w:p>
      <w:pPr>
        <w:jc w:val="both"/>
        <w:ind w:left="640" w:right="639"/>
        <w:spacing w:after="0" w:line="245" w:lineRule="auto"/>
        <w:rPr>
          <w:sz w:val="20"/>
          <w:szCs w:val="20"/>
          <w:color w:val="auto"/>
        </w:rPr>
      </w:pPr>
      <w:r>
        <w:rPr>
          <w:rFonts w:ascii="Arial" w:cs="Arial" w:eastAsia="Arial" w:hAnsi="Arial"/>
          <w:sz w:val="14"/>
          <w:szCs w:val="14"/>
          <w:color w:val="auto"/>
        </w:rPr>
        <w:t>The Company capitalizes certain legal, professional accounting and other third-party fees that are direct and incremental costs associated with the in-process public equity financing as deferred offering costs until such financing is consummated. After the consummation of such equity financing, these costs are recorded as a reduction of the proceeds generated as a result of the offering within additional paid-in capital. Should the planned equity financing be abandoned, the deferred offering costs, currently recorded within other non-current assets, will be expensed immediately as a charge to operating expenses in the statements of operations and comprehensive loss. The Company recorded $0.1 million of deferred offering costs within non-current assets as of December 31, 2025. The Company recorded $5.0 million of deferred offering costs within other non-current assets as of December 31, 2024, which were written off during the second quarter of 2025 upon abandonment of the planned offering.</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9" w:lineRule="exact"/>
        <w:rPr>
          <w:sz w:val="20"/>
          <w:szCs w:val="20"/>
          <w:color w:val="auto"/>
        </w:rPr>
      </w:pPr>
    </w:p>
    <w:p>
      <w:pPr>
        <w:jc w:val="both"/>
        <w:ind w:left="640" w:right="659"/>
        <w:spacing w:after="0" w:line="181" w:lineRule="exact"/>
        <w:rPr>
          <w:sz w:val="20"/>
          <w:szCs w:val="20"/>
          <w:color w:val="auto"/>
        </w:rPr>
      </w:pPr>
      <w:r>
        <w:rPr>
          <w:rFonts w:ascii="Arial" w:cs="Arial" w:eastAsia="Arial" w:hAnsi="Arial"/>
          <w:sz w:val="14"/>
          <w:szCs w:val="14"/>
          <w:color w:val="auto"/>
        </w:rPr>
        <w:t>Expenditures relating to research and development are expensed as incurred. Non</w:t>
      </w:r>
      <w:r>
        <w:rPr>
          <w:rFonts w:ascii="MS PGothic" w:cs="MS PGothic" w:eastAsia="MS PGothic" w:hAnsi="MS PGothic"/>
          <w:sz w:val="14"/>
          <w:szCs w:val="14"/>
          <w:color w:val="auto"/>
        </w:rPr>
        <w:t>‑</w:t>
      </w:r>
      <w:r>
        <w:rPr>
          <w:rFonts w:ascii="Arial" w:cs="Arial" w:eastAsia="Arial" w:hAnsi="Arial"/>
          <w:sz w:val="14"/>
          <w:szCs w:val="14"/>
          <w:color w:val="auto"/>
        </w:rPr>
        <w:t>refundable advance payments for goods and services that will be used in future research and development activities are expensed when the activity has been performed or when the goods have been received.</w:t>
      </w:r>
    </w:p>
    <w:p>
      <w:pPr>
        <w:spacing w:after="0" w:line="145" w:lineRule="exact"/>
        <w:rPr>
          <w:sz w:val="20"/>
          <w:szCs w:val="20"/>
          <w:color w:val="auto"/>
        </w:rPr>
      </w:pPr>
    </w:p>
    <w:p>
      <w:pPr>
        <w:jc w:val="both"/>
        <w:ind w:left="640" w:right="659"/>
        <w:spacing w:after="0" w:line="247" w:lineRule="auto"/>
        <w:rPr>
          <w:sz w:val="20"/>
          <w:szCs w:val="20"/>
          <w:color w:val="auto"/>
        </w:rPr>
      </w:pPr>
      <w:r>
        <w:rPr>
          <w:rFonts w:ascii="Arial" w:cs="Arial" w:eastAsia="Arial" w:hAnsi="Arial"/>
          <w:sz w:val="14"/>
          <w:szCs w:val="14"/>
          <w:color w:val="auto"/>
        </w:rPr>
        <w:t>The Company is required to estimate its accrued research and development expenses as of each balance sheet date. In accruing service fees, the Company estimates the time period over which services will be performed and the level of effort to be expended in each period. The financial terms of these contracts are subject to negotiation, which vary by contract and may result in payments that do not match the periods over which materials or services are provided. The Company accrues the costs incurred under the agreements based on an estimate of actual work completed in accordance with the agreements. In circumstances where amounts have been paid in excess of costs incurred, the Company records the excess as a prepaid expense and recognizes as expense as the goods are received or the related services are rendered.</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Income Taxes</w:t>
      </w:r>
    </w:p>
    <w:p>
      <w:pPr>
        <w:spacing w:after="0" w:line="170"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 valuation allowance against deferred tax assets is recorded if, based on the weight of the available evidence, it is more likely than not that some or all the deferred tax assets will not be realized.</w:t>
      </w:r>
    </w:p>
    <w:p>
      <w:pPr>
        <w:spacing w:after="0" w:line="140" w:lineRule="exact"/>
        <w:rPr>
          <w:sz w:val="20"/>
          <w:szCs w:val="20"/>
          <w:color w:val="auto"/>
        </w:rPr>
      </w:pPr>
    </w:p>
    <w:p>
      <w:pPr>
        <w:jc w:val="both"/>
        <w:ind w:left="640" w:right="659"/>
        <w:spacing w:after="0" w:line="256" w:lineRule="auto"/>
        <w:rPr>
          <w:sz w:val="20"/>
          <w:szCs w:val="20"/>
          <w:color w:val="auto"/>
        </w:rPr>
      </w:pPr>
      <w:r>
        <w:rPr>
          <w:rFonts w:ascii="Arial" w:cs="Arial" w:eastAsia="Arial" w:hAnsi="Arial"/>
          <w:sz w:val="14"/>
          <w:szCs w:val="14"/>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5" w:name="page246"/>
    <w:bookmarkEnd w:id="24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subject to audit, new audit activity and changes in facts or circumstances related to a tax position. The Company recognizes interest and penalties related to income tax, if any, within income tax provision.</w:t>
      </w:r>
    </w:p>
    <w:p>
      <w:pPr>
        <w:spacing w:after="0" w:line="116"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Provisions of the U.S. Tax Cuts and Jobs Act (“U.S. Tax Act”) became effective for the Company upon inception. The Global Intangible Low-Taxed Income (“GILTI”) provision requires that the Company be subject to U.S. taxation on a portion of its foreign subsidiary earnings that exceed an allowable return. The Company has elected to treat any GILTI inclusion as a period expense in the year incurred.</w:t>
      </w:r>
    </w:p>
    <w:p>
      <w:pPr>
        <w:spacing w:after="0" w:line="135"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Federal tax legislation was enacted on July 4, 2025. Notable provisions include the restoration of 100% bonus depreciation, the reinstatement of immediate deductibility of certain domestic research and experimental expenditures, and taxpayer favorable modifications to certain interest deductibility limitations.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70" w:lineRule="exact"/>
        <w:rPr>
          <w:sz w:val="20"/>
          <w:szCs w:val="20"/>
          <w:color w:val="auto"/>
        </w:rPr>
      </w:pPr>
    </w:p>
    <w:p>
      <w:pPr>
        <w:jc w:val="both"/>
        <w:ind w:left="640" w:right="639"/>
        <w:spacing w:after="0" w:line="248" w:lineRule="auto"/>
        <w:rPr>
          <w:sz w:val="20"/>
          <w:szCs w:val="20"/>
          <w:color w:val="auto"/>
        </w:rPr>
      </w:pPr>
      <w:r>
        <w:rPr>
          <w:rFonts w:ascii="Arial" w:cs="Arial" w:eastAsia="Arial" w:hAnsi="Arial"/>
          <w:sz w:val="14"/>
          <w:szCs w:val="14"/>
          <w:color w:val="auto"/>
        </w:rPr>
        <w:t>The Company follows the two-class method when computing net loss per share as the Company has issued convertible preferred stock which are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40" w:lineRule="exact"/>
        <w:rPr>
          <w:sz w:val="20"/>
          <w:szCs w:val="20"/>
          <w:color w:val="auto"/>
        </w:rPr>
      </w:pPr>
    </w:p>
    <w:p>
      <w:pPr>
        <w:jc w:val="both"/>
        <w:ind w:left="640" w:right="639"/>
        <w:spacing w:after="0" w:line="247" w:lineRule="auto"/>
        <w:rPr>
          <w:sz w:val="20"/>
          <w:szCs w:val="20"/>
          <w:color w:val="auto"/>
        </w:rPr>
      </w:pPr>
      <w:r>
        <w:rPr>
          <w:rFonts w:ascii="Arial" w:cs="Arial" w:eastAsia="Arial" w:hAnsi="Arial"/>
          <w:sz w:val="14"/>
          <w:szCs w:val="14"/>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reported a net loss attributable to common stockholders, such losses are not allocated to such participating securities. In periods in which the Company reported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 The Company reported a net loss attributable to common stockholders for the years ended December 31, 2025 and 2024.</w:t>
      </w:r>
    </w:p>
    <w:p>
      <w:pPr>
        <w:spacing w:after="0" w:line="140"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Basic net loss per share attributable to common stockholders is computed by dividing net loss attributable to common stockholders by the weighted-average number of shares of common stock outstanding during the period, adjusted for outstanding shares that are contingently returnable by the holder. Contingently issuable shares, including shares that are issuable for little or no cash consideration, are considered outstanding common shares and included in net loss per share as of the date that all necessary conditions have been satisfied. Such shares include outstanding common stock warrants (see Note 12). Diluted net loss per share attributable to common stockholders is computed by dividing the diluted net loss attributable to common stockholders by the weighted-average number of shares of common stock outstanding for the period, including potential dilutive common stock.</w:t>
      </w:r>
    </w:p>
    <w:p>
      <w:pPr>
        <w:spacing w:after="0" w:line="140"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Dividends on convertible preferred stock increase the net loss to arrive at loss available to common stockholders, which is the numerator in the calculation of basic net loss and diluted net loss per share. Such dividends include deemed dividends such as adjustments triggered by down round features.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170" w:lineRule="exact"/>
        <w:rPr>
          <w:sz w:val="20"/>
          <w:szCs w:val="20"/>
          <w:color w:val="auto"/>
        </w:rPr>
      </w:pPr>
    </w:p>
    <w:p>
      <w:pPr>
        <w:jc w:val="both"/>
        <w:ind w:left="640" w:right="639"/>
        <w:spacing w:after="0" w:line="261" w:lineRule="auto"/>
        <w:rPr>
          <w:sz w:val="20"/>
          <w:szCs w:val="20"/>
          <w:color w:val="auto"/>
        </w:rPr>
      </w:pPr>
      <w:r>
        <w:rPr>
          <w:rFonts w:ascii="Arial" w:cs="Arial" w:eastAsia="Arial" w:hAnsi="Arial"/>
          <w:sz w:val="14"/>
          <w:szCs w:val="14"/>
          <w:color w:val="auto"/>
        </w:rPr>
        <w:t>Financial instruments that potentially expose the Company to concentrations of credit risk primarily consist of cash, cash equivalents and marketable securities. The Company invests its cash and cash equivalents in overnight insured cash sweeps, money market funds, U.S. Treasury bills and U.S. Treasury notes.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Emerging Growth Company Status</w:t>
      </w:r>
    </w:p>
    <w:p>
      <w:pPr>
        <w:spacing w:after="0" w:line="170"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The Company is an emerging growth company (“EGC”), as defined in the Jumpstart Our Business Startups Act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42" w:lineRule="exact"/>
        <w:rPr>
          <w:sz w:val="20"/>
          <w:szCs w:val="20"/>
          <w:color w:val="auto"/>
        </w:rPr>
      </w:pPr>
    </w:p>
    <w:p>
      <w:pPr>
        <w:jc w:val="right"/>
        <w:ind w:right="4339"/>
        <w:spacing w:after="0"/>
        <w:rPr>
          <w:sz w:val="20"/>
          <w:szCs w:val="20"/>
          <w:color w:val="auto"/>
        </w:rPr>
      </w:pPr>
      <w:r>
        <w:rPr>
          <w:rFonts w:ascii="Arial" w:cs="Arial" w:eastAsia="Arial" w:hAnsi="Arial"/>
          <w:sz w:val="14"/>
          <w:szCs w:val="14"/>
          <w:b w:val="1"/>
          <w:bCs w:val="1"/>
          <w:i w:val="1"/>
          <w:iCs w:val="1"/>
          <w:color w:val="auto"/>
        </w:rPr>
        <w:t>Recently Adopted and Issued Accounting Pronouncements</w:t>
      </w:r>
    </w:p>
    <w:p>
      <w:pPr>
        <w:spacing w:after="0" w:line="84" w:lineRule="exact"/>
        <w:rPr>
          <w:sz w:val="20"/>
          <w:szCs w:val="20"/>
          <w:color w:val="auto"/>
        </w:rPr>
      </w:pPr>
    </w:p>
    <w:p>
      <w:pPr>
        <w:jc w:val="right"/>
        <w:ind w:right="435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6" w:name="page247"/>
    <w:bookmarkEnd w:id="24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From time to time, new accounting pronouncements are issued by the FASB or other standard setting bodies, and the Company adopts such pronouncements as of the specified effective date. Unless otherwise discussed below, the Company does not believe that the adoption of recently issued standards has had or may have a material impact on the Company’s consolidated financial statements or disclosures.</w:t>
      </w:r>
    </w:p>
    <w:p>
      <w:pPr>
        <w:spacing w:after="0" w:line="135" w:lineRule="exact"/>
        <w:rPr>
          <w:sz w:val="20"/>
          <w:szCs w:val="20"/>
          <w:color w:val="auto"/>
        </w:rPr>
      </w:pPr>
    </w:p>
    <w:p>
      <w:pPr>
        <w:jc w:val="both"/>
        <w:ind w:left="640" w:right="659"/>
        <w:spacing w:after="0" w:line="251" w:lineRule="auto"/>
        <w:rPr>
          <w:sz w:val="20"/>
          <w:szCs w:val="20"/>
          <w:color w:val="auto"/>
        </w:rPr>
      </w:pPr>
      <w:r>
        <w:rPr>
          <w:rFonts w:ascii="Arial" w:cs="Arial" w:eastAsia="Arial" w:hAnsi="Arial"/>
          <w:sz w:val="14"/>
          <w:szCs w:val="14"/>
          <w:color w:val="auto"/>
        </w:rPr>
        <w:t xml:space="preserve">In December 2023, the FASB issued ASU No. 2023-09, </w:t>
      </w:r>
      <w:r>
        <w:rPr>
          <w:rFonts w:ascii="Arial" w:cs="Arial" w:eastAsia="Arial" w:hAnsi="Arial"/>
          <w:sz w:val="14"/>
          <w:szCs w:val="14"/>
          <w:i w:val="1"/>
          <w:iCs w:val="1"/>
          <w:color w:val="auto"/>
        </w:rPr>
        <w:t>Income Taxes (Topic 740): Improvements to Income Tax</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Disclosures </w:t>
      </w:r>
      <w:r>
        <w:rPr>
          <w:rFonts w:ascii="Times New Roman" w:cs="Times New Roman" w:eastAsia="Times New Roman" w:hAnsi="Times New Roman"/>
          <w:sz w:val="14"/>
          <w:szCs w:val="14"/>
          <w:color w:val="auto"/>
        </w:rPr>
        <w:t>(“</w:t>
      </w:r>
      <w:r>
        <w:rPr>
          <w:rFonts w:ascii="Arial" w:cs="Arial" w:eastAsia="Arial" w:hAnsi="Arial"/>
          <w:sz w:val="14"/>
          <w:szCs w:val="14"/>
          <w:color w:val="auto"/>
        </w:rPr>
        <w:t>ASU 2023-09</w:t>
      </w:r>
      <w:r>
        <w:rPr>
          <w:rFonts w:ascii="Times New Roman" w:cs="Times New Roman" w:eastAsia="Times New Roman" w:hAnsi="Times New Roman"/>
          <w:sz w:val="14"/>
          <w:szCs w:val="14"/>
          <w:color w:val="auto"/>
        </w:rPr>
        <w:t>”)</w:t>
      </w:r>
      <w:r>
        <w:rPr>
          <w:rFonts w:ascii="Arial" w:cs="Arial" w:eastAsia="Arial" w:hAnsi="Arial"/>
          <w:sz w:val="14"/>
          <w:szCs w:val="14"/>
          <w:color w:val="auto"/>
        </w:rPr>
        <w:t>. This amended guidance applies to all entities and broadly aims to enhance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transparency and decision usefulness of income tax disclosures.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adopted ASU 2023-09 on January 1, 2025 using a retrospective method of transition. Refer to Note 16.</w:t>
      </w:r>
    </w:p>
    <w:p>
      <w:pPr>
        <w:spacing w:after="0" w:line="138" w:lineRule="exact"/>
        <w:rPr>
          <w:sz w:val="20"/>
          <w:szCs w:val="20"/>
          <w:color w:val="auto"/>
        </w:rPr>
      </w:pPr>
    </w:p>
    <w:p>
      <w:pPr>
        <w:jc w:val="both"/>
        <w:ind w:left="640" w:right="659"/>
        <w:spacing w:after="0" w:line="244"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Statement—Reporting Comprehensive Income—Expense</w:t>
      </w:r>
      <w:r>
        <w:rPr>
          <w:rFonts w:ascii="Arial" w:cs="Arial" w:eastAsia="Arial" w:hAnsi="Arial"/>
          <w:sz w:val="14"/>
          <w:szCs w:val="14"/>
          <w:color w:val="auto"/>
        </w:rPr>
        <w:t xml:space="preserve"> </w:t>
      </w:r>
      <w:r>
        <w:rPr>
          <w:rFonts w:ascii="Arial" w:cs="Arial" w:eastAsia="Arial" w:hAnsi="Arial"/>
          <w:sz w:val="14"/>
          <w:szCs w:val="14"/>
          <w:i w:val="1"/>
          <w:iCs w:val="1"/>
          <w:color w:val="auto"/>
        </w:rPr>
        <w:t>Disaggregation Disclosures (Subtopic 220-40): Disaggregation of Income Statement Expenses</w:t>
      </w:r>
      <w:r>
        <w:rPr>
          <w:rFonts w:ascii="Arial" w:cs="Arial" w:eastAsia="Arial" w:hAnsi="Arial"/>
          <w:sz w:val="14"/>
          <w:szCs w:val="14"/>
          <w:color w:val="auto"/>
        </w:rPr>
        <w:t>, or ASU 2024-03, which is</w:t>
      </w:r>
      <w:r>
        <w:rPr>
          <w:rFonts w:ascii="Arial" w:cs="Arial" w:eastAsia="Arial" w:hAnsi="Arial"/>
          <w:sz w:val="14"/>
          <w:szCs w:val="14"/>
          <w:i w:val="1"/>
          <w:iCs w:val="1"/>
          <w:color w:val="auto"/>
        </w:rPr>
        <w:t xml:space="preserve"> </w:t>
      </w:r>
      <w:r>
        <w:rPr>
          <w:rFonts w:ascii="Arial" w:cs="Arial" w:eastAsia="Arial" w:hAnsi="Arial"/>
          <w:sz w:val="14"/>
          <w:szCs w:val="14"/>
          <w:color w:val="auto"/>
        </w:rPr>
        <w:t>intended to provide more detailed information about specified categories of expenses (purchases of inventory, employee compensation, depreciation and amortization) included in certain expense captions presented on the statement of operations. The guidance in ASU 2024-03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spacing w:after="0" w:line="146" w:lineRule="exact"/>
        <w:rPr>
          <w:sz w:val="20"/>
          <w:szCs w:val="20"/>
          <w:color w:val="auto"/>
        </w:rPr>
      </w:pPr>
    </w:p>
    <w:p>
      <w:pPr>
        <w:ind w:left="1160" w:hanging="522"/>
        <w:spacing w:after="0"/>
        <w:tabs>
          <w:tab w:leader="none" w:pos="1160" w:val="left"/>
        </w:tabs>
        <w:numPr>
          <w:ilvl w:val="0"/>
          <w:numId w:val="106"/>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Intangible Asset</w:t>
      </w:r>
    </w:p>
    <w:p>
      <w:pPr>
        <w:spacing w:after="0" w:line="172"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Company’s goodwill and intangible asset relate to the purchase of Rahko Limited (“Rahko”) in 2021, which was accounted for as a business combination.</w:t>
      </w:r>
    </w:p>
    <w:p>
      <w:pPr>
        <w:spacing w:after="0" w:line="118"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Goodwill</w:t>
            </w: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5280" w:type="dxa"/>
            <w:vAlign w:val="bottom"/>
            <w:gridSpan w:val="2"/>
          </w:tcPr>
          <w:p>
            <w:pPr>
              <w:spacing w:after="0"/>
              <w:rPr>
                <w:sz w:val="20"/>
                <w:szCs w:val="20"/>
                <w:color w:val="auto"/>
              </w:rPr>
            </w:pPr>
            <w:r>
              <w:rPr>
                <w:rFonts w:ascii="Arial" w:cs="Arial" w:eastAsia="Arial" w:hAnsi="Arial"/>
                <w:sz w:val="14"/>
                <w:szCs w:val="14"/>
                <w:color w:val="auto"/>
              </w:rPr>
              <w:t>Goodwill and the effect of foreign currency translation is as follows:</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280" w:type="dxa"/>
            <w:vAlign w:val="bottom"/>
            <w:gridSpan w:val="2"/>
          </w:tcPr>
          <w:p>
            <w:pPr>
              <w:spacing w:after="0"/>
              <w:rPr>
                <w:sz w:val="20"/>
                <w:szCs w:val="20"/>
                <w:color w:val="auto"/>
              </w:rPr>
            </w:pPr>
            <w:r>
              <w:rPr>
                <w:rFonts w:ascii="Arial" w:cs="Arial" w:eastAsia="Arial" w:hAnsi="Arial"/>
                <w:sz w:val="14"/>
                <w:szCs w:val="14"/>
                <w:color w:val="auto"/>
              </w:rPr>
              <w:t>Goodwill balance as of January 1, 2025</w:t>
            </w: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13,346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Effect of foreign currency translation</w:t>
            </w:r>
          </w:p>
        </w:tc>
        <w:tc>
          <w:tcPr>
            <w:tcW w:w="106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60" w:type="dxa"/>
            <w:vAlign w:val="bottom"/>
          </w:tcPr>
          <w:p>
            <w:pPr>
              <w:spacing w:after="0" w:line="152" w:lineRule="exact"/>
              <w:rPr>
                <w:sz w:val="20"/>
                <w:szCs w:val="20"/>
                <w:color w:val="auto"/>
              </w:rPr>
            </w:pPr>
            <w:r>
              <w:rPr>
                <w:rFonts w:ascii="Arial" w:cs="Arial" w:eastAsia="Arial" w:hAnsi="Arial"/>
                <w:sz w:val="14"/>
                <w:szCs w:val="14"/>
                <w:color w:val="auto"/>
              </w:rPr>
              <w:t>Goodwill balance as of December 31, 2025</w:t>
            </w:r>
          </w:p>
        </w:tc>
        <w:tc>
          <w:tcPr>
            <w:tcW w:w="1540" w:type="dxa"/>
            <w:vAlign w:val="bottom"/>
            <w:gridSpan w:val="2"/>
          </w:tcPr>
          <w:p>
            <w:pPr>
              <w:jc w:val="right"/>
              <w:ind w:right="40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14,327</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4"/>
                <w:szCs w:val="14"/>
                <w:color w:val="auto"/>
              </w:rPr>
              <w:t>Goodwill balance as of January 1, 2024</w:t>
            </w: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Effect of foreign currency translation</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6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Goodwill balance as of December 31, 2024</w:t>
            </w:r>
          </w:p>
        </w:tc>
        <w:tc>
          <w:tcPr>
            <w:tcW w:w="1540" w:type="dxa"/>
            <w:vAlign w:val="bottom"/>
            <w:gridSpan w:val="2"/>
            <w:shd w:val="clear" w:color="auto" w:fill="CFF0FC"/>
          </w:tcPr>
          <w:p>
            <w:pPr>
              <w:jc w:val="right"/>
              <w:ind w:right="400"/>
              <w:spacing w:after="0" w:line="152"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13,346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Intangible Asset</w:t>
      </w:r>
    </w:p>
    <w:p>
      <w:pPr>
        <w:spacing w:after="0" w:line="170"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Company’s intangible asset is comprised solely of developed technology and is being amortized using the straight-line method which reflects the pattern in which the economic benefits of the asset are consumed, over its estimated useful life of five years.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7" w:name="page248"/>
    <w:bookmarkEnd w:id="24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659"/>
        <w:spacing w:after="0" w:line="282" w:lineRule="auto"/>
        <w:rPr>
          <w:sz w:val="20"/>
          <w:szCs w:val="20"/>
          <w:color w:val="auto"/>
        </w:rPr>
      </w:pPr>
      <w:r>
        <w:rPr>
          <w:rFonts w:ascii="Arial" w:cs="Arial" w:eastAsia="Arial" w:hAnsi="Arial"/>
          <w:sz w:val="14"/>
          <w:szCs w:val="14"/>
          <w:color w:val="auto"/>
        </w:rPr>
        <w:t>The following tables present the intangible asset, current and future amortization, and the effect of foreign currency translation:</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32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Intangible asset balance as of January 1</w:t>
            </w:r>
          </w:p>
        </w:tc>
        <w:tc>
          <w:tcPr>
            <w:tcW w:w="204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1,629</w:t>
            </w:r>
          </w:p>
        </w:tc>
        <w:tc>
          <w:tcPr>
            <w:tcW w:w="360" w:type="dxa"/>
            <w:vAlign w:val="bottom"/>
            <w:gridSpan w:val="2"/>
            <w:shd w:val="clear" w:color="auto" w:fill="CFF0FC"/>
          </w:tcPr>
          <w:p>
            <w:pPr>
              <w:jc w:val="right"/>
              <w:ind w:right="160"/>
              <w:spacing w:after="0" w:line="152"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1,655</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Effect of foreign currency translation</w:t>
            </w: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3240" w:type="dxa"/>
            <w:vAlign w:val="bottom"/>
            <w:tcBorders>
              <w:bottom w:val="single" w:sz="8" w:color="CFF0FC"/>
            </w:tcBorders>
            <w:shd w:val="clear" w:color="auto" w:fill="CFF0FC"/>
          </w:tcPr>
          <w:p>
            <w:pPr>
              <w:spacing w:after="0" w:line="152" w:lineRule="exact"/>
              <w:rPr>
                <w:sz w:val="20"/>
                <w:szCs w:val="20"/>
                <w:color w:val="auto"/>
              </w:rPr>
            </w:pPr>
            <w:r>
              <w:rPr>
                <w:rFonts w:ascii="Arial" w:cs="Arial" w:eastAsia="Arial" w:hAnsi="Arial"/>
                <w:sz w:val="14"/>
                <w:szCs w:val="14"/>
                <w:color w:val="auto"/>
              </w:rPr>
              <w:t>Intangible asset balance as of December 31</w:t>
            </w:r>
          </w:p>
        </w:tc>
        <w:tc>
          <w:tcPr>
            <w:tcW w:w="18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1,749</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1,629</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3240" w:type="dxa"/>
            <w:vAlign w:val="bottom"/>
          </w:tcPr>
          <w:p>
            <w:pPr>
              <w:spacing w:after="0" w:line="152" w:lineRule="exact"/>
              <w:rPr>
                <w:sz w:val="20"/>
                <w:szCs w:val="20"/>
                <w:color w:val="auto"/>
              </w:rPr>
            </w:pPr>
            <w:r>
              <w:rPr>
                <w:rFonts w:ascii="Arial" w:cs="Arial" w:eastAsia="Arial" w:hAnsi="Arial"/>
                <w:sz w:val="14"/>
                <w:szCs w:val="14"/>
                <w:color w:val="auto"/>
              </w:rPr>
              <w:t>Accumulated amortization</w:t>
            </w:r>
          </w:p>
        </w:tc>
        <w:tc>
          <w:tcPr>
            <w:tcW w:w="1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(1,487)</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(1,059)</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24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Intangible asset, net</w:t>
            </w:r>
          </w:p>
        </w:tc>
        <w:tc>
          <w:tcPr>
            <w:tcW w:w="2040" w:type="dxa"/>
            <w:vAlign w:val="bottom"/>
            <w:gridSpan w:val="2"/>
            <w:shd w:val="clear" w:color="auto" w:fill="CFF0FC"/>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28"/>
              <w:spacing w:after="0" w:line="141" w:lineRule="exact"/>
              <w:rPr>
                <w:sz w:val="20"/>
                <w:szCs w:val="20"/>
                <w:color w:val="auto"/>
              </w:rPr>
            </w:pPr>
            <w:r>
              <w:rPr>
                <w:rFonts w:ascii="Arial" w:cs="Arial" w:eastAsia="Arial" w:hAnsi="Arial"/>
                <w:sz w:val="14"/>
                <w:szCs w:val="14"/>
                <w:color w:val="auto"/>
              </w:rPr>
              <w:t>262</w:t>
            </w:r>
          </w:p>
        </w:tc>
        <w:tc>
          <w:tcPr>
            <w:tcW w:w="360" w:type="dxa"/>
            <w:vAlign w:val="bottom"/>
            <w:gridSpan w:val="2"/>
            <w:shd w:val="clear" w:color="auto" w:fill="CFF0FC"/>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
              <w:spacing w:after="0" w:line="141" w:lineRule="exact"/>
              <w:rPr>
                <w:sz w:val="20"/>
                <w:szCs w:val="20"/>
                <w:color w:val="auto"/>
              </w:rPr>
            </w:pPr>
            <w:r>
              <w:rPr>
                <w:rFonts w:ascii="Arial" w:cs="Arial" w:eastAsia="Arial" w:hAnsi="Arial"/>
                <w:sz w:val="14"/>
                <w:szCs w:val="14"/>
                <w:color w:val="auto"/>
              </w:rPr>
              <w:t>570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0" w:type="dxa"/>
            <w:vAlign w:val="bottom"/>
            <w:vMerge w:val="restart"/>
          </w:tcPr>
          <w:p>
            <w:pPr>
              <w:spacing w:after="0"/>
              <w:rPr>
                <w:sz w:val="11"/>
                <w:szCs w:val="11"/>
                <w:color w:val="auto"/>
              </w:rPr>
            </w:pPr>
          </w:p>
        </w:tc>
        <w:tc>
          <w:tcPr>
            <w:tcW w:w="3240" w:type="dxa"/>
            <w:vAlign w:val="bottom"/>
            <w:tcBorders>
              <w:top w:val="single" w:sz="8" w:color="CFF0FC"/>
            </w:tcBorders>
          </w:tcPr>
          <w:p>
            <w:pPr>
              <w:spacing w:after="0"/>
              <w:rPr>
                <w:sz w:val="11"/>
                <w:szCs w:val="11"/>
                <w:color w:val="auto"/>
              </w:rPr>
            </w:pPr>
          </w:p>
        </w:tc>
        <w:tc>
          <w:tcPr>
            <w:tcW w:w="186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0" w:type="dxa"/>
            <w:vAlign w:val="bottom"/>
            <w:vMerge w:val="continue"/>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Future amortization:</w:t>
            </w:r>
          </w:p>
        </w:tc>
        <w:tc>
          <w:tcPr>
            <w:tcW w:w="1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2026</w:t>
            </w: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24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Total future amortization</w:t>
            </w:r>
          </w:p>
        </w:tc>
        <w:tc>
          <w:tcPr>
            <w:tcW w:w="2040" w:type="dxa"/>
            <w:vAlign w:val="bottom"/>
            <w:gridSpan w:val="2"/>
            <w:shd w:val="clear" w:color="auto" w:fill="CFF0FC"/>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28"/>
              <w:spacing w:after="0" w:line="141" w:lineRule="exact"/>
              <w:rPr>
                <w:sz w:val="20"/>
                <w:szCs w:val="20"/>
                <w:color w:val="auto"/>
              </w:rPr>
            </w:pPr>
            <w:r>
              <w:rPr>
                <w:rFonts w:ascii="Arial" w:cs="Arial" w:eastAsia="Arial" w:hAnsi="Arial"/>
                <w:sz w:val="14"/>
                <w:szCs w:val="14"/>
                <w:color w:val="auto"/>
              </w:rPr>
              <w:t>262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60" w:type="dxa"/>
            <w:vAlign w:val="bottom"/>
          </w:tcPr>
          <w:p>
            <w:pPr>
              <w:spacing w:after="0"/>
              <w:rPr>
                <w:sz w:val="24"/>
                <w:szCs w:val="24"/>
                <w:color w:val="auto"/>
              </w:rPr>
            </w:pPr>
          </w:p>
        </w:tc>
        <w:tc>
          <w:tcPr>
            <w:tcW w:w="3240" w:type="dxa"/>
            <w:vAlign w:val="bottom"/>
            <w:tcBorders>
              <w:top w:val="single" w:sz="8" w:color="CFF0FC"/>
            </w:tcBorders>
          </w:tcPr>
          <w:p>
            <w:pPr>
              <w:spacing w:after="0"/>
              <w:rPr>
                <w:sz w:val="24"/>
                <w:szCs w:val="24"/>
                <w:color w:val="auto"/>
              </w:rPr>
            </w:pPr>
          </w:p>
        </w:tc>
        <w:tc>
          <w:tcPr>
            <w:tcW w:w="1860" w:type="dxa"/>
            <w:vAlign w:val="bottom"/>
            <w:tcBorders>
              <w:top w:val="single" w:sz="8" w:color="CFF0FC"/>
            </w:tcBorders>
          </w:tcPr>
          <w:p>
            <w:pPr>
              <w:ind w:left="440"/>
              <w:spacing w:after="0"/>
              <w:rPr>
                <w:sz w:val="20"/>
                <w:szCs w:val="20"/>
                <w:color w:val="auto"/>
              </w:rPr>
            </w:pPr>
            <w:r>
              <w:rPr>
                <w:rFonts w:ascii="Arial" w:cs="Arial" w:eastAsia="Arial" w:hAnsi="Arial"/>
                <w:sz w:val="14"/>
                <w:szCs w:val="14"/>
                <w:color w:val="auto"/>
              </w:rPr>
              <w:t>F-16</w:t>
            </w: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-1336040</wp:posOffset>
            </wp:positionV>
            <wp:extent cx="7493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-1117600</wp:posOffset>
            </wp:positionV>
            <wp:extent cx="7493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-1104265</wp:posOffset>
            </wp:positionV>
            <wp:extent cx="7493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-681355</wp:posOffset>
            </wp:positionV>
            <wp:extent cx="7493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-667385</wp:posOffset>
            </wp:positionV>
            <wp:extent cx="7493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8" w:name="page249"/>
    <w:bookmarkEnd w:id="24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60" w:hanging="522"/>
        <w:spacing w:after="0"/>
        <w:tabs>
          <w:tab w:leader="none" w:pos="1160"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Collaboration and License Agreements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Pfizer MTA</w:t>
      </w:r>
    </w:p>
    <w:p>
      <w:pPr>
        <w:spacing w:after="0" w:line="170" w:lineRule="exact"/>
        <w:rPr>
          <w:sz w:val="20"/>
          <w:szCs w:val="20"/>
          <w:color w:val="auto"/>
        </w:rPr>
      </w:pPr>
    </w:p>
    <w:p>
      <w:pPr>
        <w:jc w:val="both"/>
        <w:ind w:left="640" w:right="659"/>
        <w:spacing w:after="0" w:line="251" w:lineRule="auto"/>
        <w:rPr>
          <w:sz w:val="20"/>
          <w:szCs w:val="20"/>
          <w:color w:val="auto"/>
        </w:rPr>
      </w:pPr>
      <w:r>
        <w:rPr>
          <w:rFonts w:ascii="Arial" w:cs="Arial" w:eastAsia="Arial" w:hAnsi="Arial"/>
          <w:sz w:val="14"/>
          <w:szCs w:val="14"/>
          <w:color w:val="auto"/>
        </w:rPr>
        <w:t>In December 2022, the Company entered into a material transfer and evaluation agreement (the “Pfizer MTA”) with Pfizer, Inc. (“Pfizer”) in which the Company granted to Pfizer a nonexclusive license to access the Company's intellectual property. Under the Pfizer MTA, the Company and Pfizer will jointly conduct research to identify novel hits using the Company’s natural product platform to initiate a preclinical drug discovery program against an oncogenic transcription factor.</w:t>
      </w:r>
    </w:p>
    <w:p>
      <w:pPr>
        <w:spacing w:after="0" w:line="304"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The Company determined that the Pfizer MTA represents a contract with a customer and consists of one combined performance obligation for the nonexclusive license and the promise to provide research and development services (“R&amp;D services”) to Pfizer, as the license and promise are not capable of being distinct in the context of the contract. The Pfizer MTA is for an initial period of two and one-half years or upon completion of the research if completed or terminated earlier. In addition, the Pfizer MTA contains two options that require the Company to provide further R&amp;D services to Pfizer (the “First Pfizer Option” and “Second Pfizer Option”, collectively the “Pfizer Options”). The Company evaluated the options to continue the R&amp;D services and concluded that these options did not represent material rights, as they were deemed to be for additional R&amp;D services that are at their standalone selling price.</w:t>
      </w:r>
    </w:p>
    <w:p>
      <w:pPr>
        <w:spacing w:after="0" w:line="140" w:lineRule="exact"/>
        <w:rPr>
          <w:sz w:val="20"/>
          <w:szCs w:val="20"/>
          <w:color w:val="auto"/>
        </w:rPr>
      </w:pPr>
    </w:p>
    <w:p>
      <w:pPr>
        <w:jc w:val="both"/>
        <w:ind w:left="640" w:right="659"/>
        <w:spacing w:after="0" w:line="256" w:lineRule="auto"/>
        <w:rPr>
          <w:sz w:val="20"/>
          <w:szCs w:val="20"/>
          <w:color w:val="auto"/>
        </w:rPr>
      </w:pPr>
      <w:r>
        <w:rPr>
          <w:rFonts w:ascii="Arial" w:cs="Arial" w:eastAsia="Arial" w:hAnsi="Arial"/>
          <w:sz w:val="14"/>
          <w:szCs w:val="14"/>
          <w:color w:val="auto"/>
        </w:rPr>
        <w:t>In 2023, Pfizer paid the Company a nonrefundable upfront payment of $ 1.0 million in exchange for the nonexclusive license as well as R&amp;D services performed by the Company over the initial period. In addition, the Company is eligible to receive contingent payments of up to $985 thousand following the completion of additional R&amp;D services under the Pfizer MTA.</w:t>
      </w:r>
    </w:p>
    <w:p>
      <w:pPr>
        <w:spacing w:after="0" w:line="301"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The Company determined the transaction price at inception to be the upfront payment of $ 1.0 million, as the variable consideration for additional R&amp;D services was subject to constraint at contract inception. At each reporting period, the Company will reevaluate the variable consideration subject to constraint and, if necessary, will adjust its estimate of the overall transaction price.</w:t>
      </w:r>
    </w:p>
    <w:p>
      <w:pPr>
        <w:spacing w:after="0" w:line="135" w:lineRule="exact"/>
        <w:rPr>
          <w:sz w:val="20"/>
          <w:szCs w:val="20"/>
          <w:color w:val="auto"/>
        </w:rPr>
      </w:pPr>
    </w:p>
    <w:p>
      <w:pPr>
        <w:jc w:val="both"/>
        <w:ind w:left="640" w:right="659"/>
        <w:spacing w:after="0" w:line="247" w:lineRule="auto"/>
        <w:rPr>
          <w:sz w:val="20"/>
          <w:szCs w:val="20"/>
          <w:color w:val="auto"/>
        </w:rPr>
      </w:pPr>
      <w:r>
        <w:rPr>
          <w:rFonts w:ascii="Arial" w:cs="Arial" w:eastAsia="Arial" w:hAnsi="Arial"/>
          <w:sz w:val="14"/>
          <w:szCs w:val="14"/>
          <w:color w:val="auto"/>
        </w:rPr>
        <w:t>In December 2023, the First Pfizer Option was exercised, and the Company invoiced $0.4 million under the terms of the Pfizer MTA. As such, the Company updated the estimated transaction price to be $1.4 million as the uncertainty related to the First Pfizer Option was resolved. In December 2024, the Second Pfizer Option was exercised and the Company invoiced an additional $0.4 million under the terms of the Pfizer MTA. The Company updated the estimated transaction price to be $1.9 million as the uncertainty related to the Second Pfizer Option was resolved. The Company will recognize the associated revenue over the remaining performance period according to its measure of progress. The adjustments to revenue upon updating the estimated transaction price upon each option was de minimis.</w:t>
      </w:r>
    </w:p>
    <w:p>
      <w:pPr>
        <w:spacing w:after="0" w:line="140" w:lineRule="exact"/>
        <w:rPr>
          <w:sz w:val="20"/>
          <w:szCs w:val="20"/>
          <w:color w:val="auto"/>
        </w:rPr>
      </w:pPr>
    </w:p>
    <w:p>
      <w:pPr>
        <w:jc w:val="both"/>
        <w:ind w:left="640" w:right="639"/>
        <w:spacing w:after="0" w:line="246" w:lineRule="auto"/>
        <w:rPr>
          <w:sz w:val="20"/>
          <w:szCs w:val="20"/>
          <w:color w:val="auto"/>
        </w:rPr>
      </w:pPr>
      <w:r>
        <w:rPr>
          <w:rFonts w:ascii="Arial" w:cs="Arial" w:eastAsia="Arial" w:hAnsi="Arial"/>
          <w:sz w:val="14"/>
          <w:szCs w:val="14"/>
          <w:color w:val="auto"/>
        </w:rPr>
        <w:t>Revenue from the Pfizer MTA is recognized over the estimated performance of the R&amp;D services using the time-elapsed input method which the Company believes best depicts the transfer of control to Pfizer. The Company recognized $0.5 million and $ 0.5 million of revenue associated with the Pfizer MTA during the years ended December 31, 2025 and 2024, respectively, which is included in collaboration revenue on the consolidated statements of operations and comprehensive loss. As of December 31, 2025, the Company had fulfilled all of its obligations under the Pfizer MTA and all revenue associated with the upfront payment and Pfizer Options had been recognized. As of December 31, 2024, the Company recorded deferred revenue of $0.4 million, within accrued expenses and other current liabilities on the consolidated balance sheet, which was recognized in full during the year ended December 31, 2025.</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Strategic Collaboration, Option, and License Agreement</w:t>
      </w:r>
    </w:p>
    <w:p>
      <w:pPr>
        <w:spacing w:after="0" w:line="170"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On March 29, 2024, the Company entered into a strategic collaboration, option and license agreement (the “J&amp;J Agreement”) with Janssen Pharmaceutica NV, a Johnson &amp; Johnson company (“J&amp;J”) to jointly discover and optimize small-molecule medicines against select therapeutic targets using the Company’s artificial intelligence and machine learning capability.</w:t>
      </w:r>
    </w:p>
    <w:p>
      <w:pPr>
        <w:spacing w:after="0" w:line="49" w:lineRule="exact"/>
        <w:rPr>
          <w:sz w:val="20"/>
          <w:szCs w:val="20"/>
          <w:color w:val="auto"/>
        </w:rPr>
      </w:pPr>
    </w:p>
    <w:p>
      <w:pPr>
        <w:jc w:val="both"/>
        <w:ind w:left="640" w:right="659"/>
        <w:spacing w:after="0" w:line="247" w:lineRule="auto"/>
        <w:rPr>
          <w:sz w:val="20"/>
          <w:szCs w:val="20"/>
          <w:color w:val="auto"/>
        </w:rPr>
      </w:pPr>
      <w:r>
        <w:rPr>
          <w:rFonts w:ascii="Arial" w:cs="Arial" w:eastAsia="Arial" w:hAnsi="Arial"/>
          <w:sz w:val="14"/>
          <w:szCs w:val="14"/>
          <w:color w:val="auto"/>
        </w:rPr>
        <w:t>Each party granted to the other party a non-exclusive, royalty-free, worldwide license (the “Research License”) to certain intellectual property in connection with the other party’s research activities under the J&amp;J Agreement (the “Initial R&amp;D Services”). The Company also granted J&amp;J an option to obtain an exclusive commercial license with respect to each program within a specified time period. On a program-by-program basis, if J&amp;J elects to exercise such option or if J&amp;J initiates certain research activities for a program (without exercising such option), the Company would be entitled to a payment in the mid-single digit millions of dollars. J&amp;J may elect up to four replacement targets prior to the earlier of the end of the research term or exercise of the option to obtain a commercial license.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9" w:name="page250"/>
    <w:bookmarkEnd w:id="24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42" w:lineRule="auto"/>
        <w:rPr>
          <w:sz w:val="20"/>
          <w:szCs w:val="20"/>
          <w:color w:val="auto"/>
        </w:rPr>
      </w:pPr>
      <w:r>
        <w:rPr>
          <w:rFonts w:ascii="Arial" w:cs="Arial" w:eastAsia="Arial" w:hAnsi="Arial"/>
          <w:sz w:val="14"/>
          <w:szCs w:val="14"/>
          <w:color w:val="auto"/>
        </w:rPr>
        <w:t>J&amp;J paid the Company a nonrefundable upfront payment of $6.5 million in connection with the entry into the J&amp;J Agreement and the Company is also eligible to receive reimbursement for additional R&amp;D services conducted incremental to the initial R&amp;D services. The Company will be eligible to receive, subject to the achievement of certain research, development, commercialization approval and sales milestones and the option exercise described below, additional milestone payments in an aggregate amount of approximately $839.0 million from J&amp;J. The Company will also be eligible to receive low to mid-single digit percentage in tiered royalties based on the aggregate net sales of certain products that arise from the J&amp;J Agreement, if approved (subject to certain deductions). The applicable royalties will be payable to the Company in a given country commencing on the date of first commercial sale of a royalty product in such country and ending upon the latest of (i) the date of expiration of the last-to-expire valid claim included in certain intellectual property,</w:t>
      </w:r>
    </w:p>
    <w:p>
      <w:pPr>
        <w:spacing w:after="0" w:line="3" w:lineRule="exact"/>
        <w:rPr>
          <w:sz w:val="20"/>
          <w:szCs w:val="20"/>
          <w:color w:val="auto"/>
        </w:rPr>
      </w:pPr>
    </w:p>
    <w:p>
      <w:pPr>
        <w:ind w:left="640" w:right="659" w:hanging="2"/>
        <w:spacing w:after="0" w:line="261" w:lineRule="auto"/>
        <w:tabs>
          <w:tab w:leader="none" w:pos="85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 designated period of time following the first commercial sale in such country and (iii) the date of expiration of all regulatory exclusivity for the applicable product in such country.</w:t>
      </w:r>
    </w:p>
    <w:p>
      <w:pPr>
        <w:spacing w:after="0" w:line="44"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J&amp;J Agreement is managed by a joint research committee (the “JRC”), in which both parties are represented equally. The JRC is tasked with the oversight and decision-making in relation to the activities to be conducted by the parties to the J&amp;J Agreement. The JRC also oversees the progress under the development plan and budget.</w:t>
      </w:r>
    </w:p>
    <w:p>
      <w:pPr>
        <w:spacing w:after="0" w:line="44" w:lineRule="exact"/>
        <w:rPr>
          <w:sz w:val="20"/>
          <w:szCs w:val="20"/>
          <w:color w:val="auto"/>
        </w:rPr>
      </w:pPr>
    </w:p>
    <w:p>
      <w:pPr>
        <w:jc w:val="both"/>
        <w:ind w:left="640" w:right="659"/>
        <w:spacing w:after="0" w:line="242" w:lineRule="auto"/>
        <w:rPr>
          <w:sz w:val="20"/>
          <w:szCs w:val="20"/>
          <w:color w:val="auto"/>
        </w:rPr>
      </w:pPr>
      <w:r>
        <w:rPr>
          <w:rFonts w:ascii="Arial" w:cs="Arial" w:eastAsia="Arial" w:hAnsi="Arial"/>
          <w:sz w:val="14"/>
          <w:szCs w:val="14"/>
          <w:color w:val="auto"/>
        </w:rPr>
        <w:t xml:space="preserve">The Company determined that the J&amp;J Agreement represents a contract with a customer under ASC 606, </w:t>
      </w:r>
      <w:r>
        <w:rPr>
          <w:rFonts w:ascii="Arial" w:cs="Arial" w:eastAsia="Arial" w:hAnsi="Arial"/>
          <w:sz w:val="14"/>
          <w:szCs w:val="14"/>
          <w:i w:val="1"/>
          <w:iCs w:val="1"/>
          <w:color w:val="auto"/>
        </w:rPr>
        <w:t>Revenue from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Contracts with Customers </w:t>
      </w:r>
      <w:r>
        <w:rPr>
          <w:rFonts w:ascii="Arial" w:cs="Arial" w:eastAsia="Arial" w:hAnsi="Arial"/>
          <w:sz w:val="14"/>
          <w:szCs w:val="14"/>
          <w:color w:val="auto"/>
        </w:rPr>
        <w:t>and consists of the following two distinct performance obligations at contract inception as</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under ASC 606: (i) the grant of the research licenses, the transfer of the research materials, project governance through the JRC and the promise to provide certain research services which are combined as a single performance obligation (the “First Performance Obligation”) and (ii) the grant of the research licenses, the transfer of research materials, project governance through the JRC and the promise to provide certain other research services which are combined as a single performance obligation (the “Second Performance Obligation”). For both performance obligations, the grant of the research licenses, project governance through the JRC, transfer of the research materials and providing of research services were combined as a single performance obligation as the obligations were determined to be highly interdependent and are not capable of being distinct within the context of the contract. The research services provided under the First Performance Obligation and the Second Performance Obligation are not highly interdependent and are capable of being distinct within the context of the contract. The research services to be provided under the First Performance Obligation and Second Performance Obligation are expected to be performed over a period of twelve months and ten months, respectively, from the contract execution date. The Company evaluated the option to provide the exclusive commercial license and concluded that the option does not represent a material right, as the option exercise fee is not offered at a significant and incremental discount. The Company also evaluated the right to the election of a replacement target and concluded that the right does not represent a material right, as the replacement target does not provide J&amp;J with a significant and incremental discount.</w:t>
      </w:r>
    </w:p>
    <w:p>
      <w:pPr>
        <w:spacing w:after="0" w:line="226" w:lineRule="exact"/>
        <w:rPr>
          <w:sz w:val="20"/>
          <w:szCs w:val="20"/>
          <w:color w:val="auto"/>
        </w:rPr>
      </w:pPr>
    </w:p>
    <w:p>
      <w:pPr>
        <w:jc w:val="both"/>
        <w:ind w:left="640" w:right="639"/>
        <w:spacing w:after="0" w:line="245" w:lineRule="auto"/>
        <w:rPr>
          <w:sz w:val="20"/>
          <w:szCs w:val="20"/>
          <w:color w:val="auto"/>
        </w:rPr>
      </w:pPr>
      <w:r>
        <w:rPr>
          <w:rFonts w:ascii="Arial" w:cs="Arial" w:eastAsia="Arial" w:hAnsi="Arial"/>
          <w:sz w:val="14"/>
          <w:szCs w:val="14"/>
          <w:color w:val="auto"/>
        </w:rPr>
        <w:t>The Company determined the transaction price at inception to be the up-front payment of $6.5 million, as the variable consideration for research reimbursement on additional R&amp;D services and development milestones were subject to constraint at contract inception. Research reimbursement on additional R&amp;D services will be included in the transaction price as related costs are incurred. Development milestones will be included in the transaction price when achievement of the applicable milestone is considered probable. At each reporting period, the Company will reevaluate the variable consideration subject to constraint and, if necessary, will adjust its estimate of the overall transaction price. At contract inception, the Company allocated the transaction price of $6.5 million between the two performance obligations based on their relative standalone selling price, using an expected cost plus margin approach, resulting in $3.3 million being allocated to the First Performance Obligation and $3.2 million being allocated to the Second Performance Obligation.</w:t>
      </w:r>
    </w:p>
    <w:p>
      <w:pPr>
        <w:spacing w:after="0" w:line="142" w:lineRule="exact"/>
        <w:rPr>
          <w:sz w:val="20"/>
          <w:szCs w:val="20"/>
          <w:color w:val="auto"/>
        </w:rPr>
      </w:pPr>
    </w:p>
    <w:p>
      <w:pPr>
        <w:jc w:val="both"/>
        <w:ind w:left="640" w:right="659"/>
        <w:spacing w:after="0" w:line="245" w:lineRule="auto"/>
        <w:rPr>
          <w:sz w:val="20"/>
          <w:szCs w:val="20"/>
          <w:color w:val="auto"/>
        </w:rPr>
      </w:pPr>
      <w:r>
        <w:rPr>
          <w:rFonts w:ascii="Arial" w:cs="Arial" w:eastAsia="Arial" w:hAnsi="Arial"/>
          <w:sz w:val="14"/>
          <w:szCs w:val="14"/>
          <w:color w:val="auto"/>
        </w:rPr>
        <w:t>Revenue from the J&amp;J Agreement is recognized over the estimated performance of the initial research and development services using the cost incurred input method, which the Company believes best depicts the transfer of control to J&amp;J. The Company recognized $2.5 million of revenue associated with the J&amp;J Agreement during the year ended December 31, 2025, of which $1.9 million was related to the First Performance Obligation and $0.6 million was related to the Second Performance Obligation, and which is recorded as collaboration revenue on the consolidated statements of operations and comprehensive loss. The Company recognized $4.0 million of revenue associated with the J&amp;J Agreement during the year ended December 31, 2024, of which $1.3 million is related to the First Performance Obligation and $2.7 million is related to the Second Performance Obligation, and is recorded as collaboration revenue on the consolidated statements of operations and comprehensive loss.</w:t>
      </w:r>
    </w:p>
    <w:p>
      <w:pPr>
        <w:spacing w:after="0" w:line="142"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As of December 31, 2025, the Company has no deferred revenue related to the J&amp;J Agreement, as the entire amount of the transaction price allocated to the First Performance Obligation and Second Performance Obligation have been recognized in full. As of December 31, 2024, the Company has recorded $2.5 million of deferred revenue within accrued expenses and other current liabilities on the consolidated balance sheet, of which $1.9 million is related to the First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0" w:name="page251"/>
    <w:bookmarkEnd w:id="25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Performance Obligation and $0.6 million is related to the Second Performance Obligation. To date there have been no development, commercial, and sales-based milestone payments or royalties based on sales achieved under the J&amp;J Agreement.</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Deferred Revenue and Accounts Receivable</w:t>
      </w:r>
    </w:p>
    <w:p>
      <w:pPr>
        <w:spacing w:after="0" w:line="170"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Deferred revenue associated with collaboration and license agreements is recorded within accrued expenses and other current liabilities on the consolidated balance sheets (see Note 8). The following table summarizes the changes in deferred revenue:</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960" w:type="dxa"/>
            <w:vAlign w:val="bottom"/>
            <w:tcBorders>
              <w:bottom w:val="single" w:sz="8" w:color="auto"/>
            </w:tcBorders>
            <w:gridSpan w:val="2"/>
          </w:tcPr>
          <w:p>
            <w:pPr>
              <w:ind w:left="560"/>
              <w:spacing w:after="0" w:line="152"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Beginning balance</w:t>
            </w:r>
          </w:p>
        </w:tc>
        <w:tc>
          <w:tcPr>
            <w:tcW w:w="96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2,877</w:t>
            </w:r>
          </w:p>
        </w:tc>
        <w:tc>
          <w:tcPr>
            <w:tcW w:w="1080" w:type="dxa"/>
            <w:vAlign w:val="bottom"/>
            <w:gridSpan w:val="2"/>
            <w:shd w:val="clear" w:color="auto" w:fill="CFF0FC"/>
          </w:tcPr>
          <w:p>
            <w:pPr>
              <w:jc w:val="right"/>
              <w:ind w:right="808"/>
              <w:spacing w:after="0" w:line="152"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4"/>
                <w:szCs w:val="14"/>
                <w:color w:val="auto"/>
              </w:rPr>
              <w:t>Additions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Deductions</w:t>
            </w:r>
          </w:p>
        </w:tc>
        <w:tc>
          <w:tcPr>
            <w:tcW w:w="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(2,976)</w:t>
            </w:r>
          </w:p>
        </w:tc>
        <w:tc>
          <w:tcPr>
            <w:tcW w:w="1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line="152" w:lineRule="exact"/>
              <w:rPr>
                <w:sz w:val="20"/>
                <w:szCs w:val="20"/>
                <w:color w:val="auto"/>
              </w:rPr>
            </w:pPr>
            <w:r>
              <w:rPr>
                <w:rFonts w:ascii="Arial" w:cs="Arial" w:eastAsia="Arial" w:hAnsi="Arial"/>
                <w:sz w:val="14"/>
                <w:szCs w:val="14"/>
                <w:color w:val="auto"/>
              </w:rPr>
              <w:t>Ending balance</w:t>
            </w:r>
          </w:p>
        </w:tc>
        <w:tc>
          <w:tcPr>
            <w:tcW w:w="960" w:type="dxa"/>
            <w:vAlign w:val="bottom"/>
            <w:gridSpan w:val="2"/>
          </w:tcPr>
          <w:p>
            <w:pPr>
              <w:spacing w:after="0" w:line="15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8"/>
              <w:spacing w:after="0" w:line="15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52" w:lineRule="exact"/>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change in accounts receivable: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ind w:left="540"/>
              <w:spacing w:after="0" w:line="152"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Beginning balance</w:t>
            </w:r>
          </w:p>
        </w:tc>
        <w:tc>
          <w:tcPr>
            <w:tcW w:w="96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443</w:t>
            </w:r>
          </w:p>
        </w:tc>
        <w:tc>
          <w:tcPr>
            <w:tcW w:w="1080" w:type="dxa"/>
            <w:vAlign w:val="bottom"/>
            <w:gridSpan w:val="2"/>
            <w:shd w:val="clear" w:color="auto" w:fill="CFF0FC"/>
          </w:tcPr>
          <w:p>
            <w:pPr>
              <w:jc w:val="right"/>
              <w:ind w:right="808"/>
              <w:spacing w:after="0" w:line="152"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4"/>
                <w:szCs w:val="14"/>
                <w:color w:val="auto"/>
              </w:rPr>
              <w:t>Additions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Deductions</w:t>
            </w:r>
          </w:p>
        </w:tc>
        <w:tc>
          <w:tcPr>
            <w:tcW w:w="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line="152" w:lineRule="exact"/>
              <w:rPr>
                <w:sz w:val="20"/>
                <w:szCs w:val="20"/>
                <w:color w:val="auto"/>
              </w:rPr>
            </w:pPr>
            <w:r>
              <w:rPr>
                <w:rFonts w:ascii="Arial" w:cs="Arial" w:eastAsia="Arial" w:hAnsi="Arial"/>
                <w:sz w:val="14"/>
                <w:szCs w:val="14"/>
                <w:color w:val="auto"/>
              </w:rPr>
              <w:t>Ending balance</w:t>
            </w:r>
          </w:p>
        </w:tc>
        <w:tc>
          <w:tcPr>
            <w:tcW w:w="960" w:type="dxa"/>
            <w:vAlign w:val="bottom"/>
            <w:gridSpan w:val="2"/>
          </w:tcPr>
          <w:p>
            <w:pPr>
              <w:spacing w:after="0" w:line="15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8"/>
              <w:spacing w:after="0" w:line="15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line="152"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-1137920</wp:posOffset>
            </wp:positionV>
            <wp:extent cx="8191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1915" cy="698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-128905</wp:posOffset>
            </wp:positionV>
            <wp:extent cx="8191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1915" cy="6985"/>
                    </a:xfrm>
                    <a:prstGeom prst="rect">
                      <a:avLst/>
                    </a:prstGeom>
                    <a:noFill/>
                  </pic:spPr>
                </pic:pic>
              </a:graphicData>
            </a:graphic>
          </wp:anchor>
        </w:drawing>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 recognized the following revenues from amounts included in deferred revenue as of the beginning of the period:</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8"/>
              <w:spacing w:after="0" w:line="152"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8"/>
              <w:spacing w:after="0" w:line="152"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37"/>
        </w:trPr>
        <w:tc>
          <w:tcPr>
            <w:tcW w:w="444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Amounts included in deferred revenue as of the beginning of the</w:t>
            </w:r>
          </w:p>
        </w:tc>
        <w:tc>
          <w:tcPr>
            <w:tcW w:w="32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2,877</w:t>
            </w:r>
          </w:p>
        </w:tc>
        <w:tc>
          <w:tcPr>
            <w:tcW w:w="4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65"/>
        </w:trPr>
        <w:tc>
          <w:tcPr>
            <w:tcW w:w="4440" w:type="dxa"/>
            <w:vAlign w:val="bottom"/>
            <w:shd w:val="clear" w:color="auto" w:fill="CFF0FC"/>
          </w:tcPr>
          <w:p>
            <w:pPr>
              <w:spacing w:after="0"/>
              <w:rPr>
                <w:sz w:val="20"/>
                <w:szCs w:val="20"/>
                <w:color w:val="auto"/>
              </w:rPr>
            </w:pPr>
            <w:r>
              <w:rPr>
                <w:rFonts w:ascii="Arial" w:cs="Arial" w:eastAsia="Arial" w:hAnsi="Arial"/>
                <w:sz w:val="14"/>
                <w:szCs w:val="14"/>
                <w:color w:val="auto"/>
              </w:rPr>
              <w:t>period</w:t>
            </w:r>
          </w:p>
        </w:tc>
        <w:tc>
          <w:tcPr>
            <w:tcW w:w="320" w:type="dxa"/>
            <w:vAlign w:val="bottom"/>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-6350</wp:posOffset>
            </wp:positionV>
            <wp:extent cx="8890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Terray Collaboration Agreement</w:t>
      </w:r>
    </w:p>
    <w:p>
      <w:pPr>
        <w:spacing w:after="0" w:line="170"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On September 11, 2024, the Company entered into a collaboration and license agreement with Terray Therapeutics, Inc. (the “Terray Agreement”) in which the Company and Terray granted to each other certain royalty-free, fully paid-up, co-exclusive licenses in order to collaborate to discover, develop, and commercialize or out-license products directed to interferon regulatory factor 5 (“IRF5”) under a profit and loss share arrangement. The activities performed under the Terray Agreement are governed by a joint steering committee, made up of two employees designated by each party.</w:t>
      </w:r>
    </w:p>
    <w:p>
      <w:pPr>
        <w:spacing w:after="0" w:line="139"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No upfront payments were made upon the execution of the Terray Agreement in consideration for the grant of the licenses and there have not been any payments made or received from the profit and loss share arrangement under the Terray Agreement as of December 31, 2025.</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1" w:name="page252"/>
    <w:bookmarkEnd w:id="25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60" w:hanging="522"/>
        <w:spacing w:after="0"/>
        <w:tabs>
          <w:tab w:leader="none" w:pos="1160"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72"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following table sets forth by level, within the fair value hierarchy, the financial assets and liabilities carried at fair value on a recurring basis:</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December 31, 2025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ind w:left="20"/>
              <w:spacing w:after="0" w:line="13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active markets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assets (Level 1)</w:t>
            </w: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inputs (Level 2)</w:t>
            </w:r>
          </w:p>
        </w:tc>
        <w:tc>
          <w:tcPr>
            <w:tcW w:w="20" w:type="dxa"/>
            <w:vAlign w:val="bottom"/>
          </w:tcPr>
          <w:p>
            <w:pPr>
              <w:spacing w:after="0"/>
              <w:rPr>
                <w:sz w:val="15"/>
                <w:szCs w:val="15"/>
                <w:color w:val="auto"/>
              </w:rPr>
            </w:pPr>
          </w:p>
        </w:tc>
        <w:tc>
          <w:tcPr>
            <w:tcW w:w="12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Financial Assets:</w:t>
            </w:r>
          </w:p>
        </w:tc>
        <w:tc>
          <w:tcPr>
            <w:tcW w:w="2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lef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top w:val="single" w:sz="8" w:color="auto"/>
              <w:lef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Money market funds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30,032</w:t>
            </w:r>
          </w:p>
        </w:tc>
        <w:tc>
          <w:tcPr>
            <w:tcW w:w="1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30,032</w:t>
            </w:r>
          </w:p>
        </w:tc>
        <w:tc>
          <w:tcPr>
            <w:tcW w:w="1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4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30,032</w:t>
            </w:r>
          </w:p>
        </w:tc>
        <w:tc>
          <w:tcPr>
            <w:tcW w:w="120" w:type="dxa"/>
            <w:vAlign w:val="bottom"/>
            <w:shd w:val="clear" w:color="auto" w:fill="CFF0FC"/>
          </w:tcPr>
          <w:p>
            <w:pPr>
              <w:spacing w:after="0"/>
              <w:rPr>
                <w:sz w:val="16"/>
                <w:szCs w:val="16"/>
                <w:color w:val="auto"/>
              </w:rPr>
            </w:pPr>
          </w:p>
        </w:tc>
        <w:tc>
          <w:tcPr>
            <w:tcW w:w="160" w:type="dxa"/>
            <w:vAlign w:val="bottom"/>
            <w:tcBorders>
              <w:left w:val="single" w:sz="8" w:color="CFF0FC"/>
            </w:tcBorders>
            <w:shd w:val="clear" w:color="auto" w:fill="CFF0FC"/>
          </w:tcPr>
          <w:p>
            <w:pPr>
              <w:spacing w:after="0" w:line="152"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30,032</w:t>
            </w:r>
          </w:p>
        </w:tc>
        <w:tc>
          <w:tcPr>
            <w:tcW w:w="12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line="152"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44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440" w:type="dxa"/>
            <w:vAlign w:val="bottom"/>
            <w:shd w:val="clear" w:color="auto" w:fill="CFF0FC"/>
          </w:tcPr>
          <w:p>
            <w:pPr>
              <w:spacing w:after="0" w:line="147" w:lineRule="exact"/>
              <w:rPr>
                <w:sz w:val="20"/>
                <w:szCs w:val="20"/>
                <w:color w:val="auto"/>
              </w:rPr>
            </w:pPr>
            <w:r>
              <w:rPr>
                <w:rFonts w:ascii="Arial" w:cs="Arial" w:eastAsia="Arial" w:hAnsi="Arial"/>
                <w:sz w:val="14"/>
                <w:szCs w:val="14"/>
                <w:color w:val="auto"/>
              </w:rPr>
              <w:t>U.S. Treasury bills and U.S.</w:t>
            </w:r>
          </w:p>
        </w:tc>
        <w:tc>
          <w:tcPr>
            <w:tcW w:w="2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174,869</w:t>
            </w:r>
          </w:p>
        </w:tc>
        <w:tc>
          <w:tcPr>
            <w:tcW w:w="120" w:type="dxa"/>
            <w:vAlign w:val="bottom"/>
            <w:shd w:val="clear" w:color="auto" w:fill="CFF0FC"/>
          </w:tcPr>
          <w:p>
            <w:pPr>
              <w:spacing w:after="0"/>
              <w:rPr>
                <w:sz w:val="12"/>
                <w:szCs w:val="12"/>
                <w:color w:val="auto"/>
              </w:rPr>
            </w:pPr>
          </w:p>
        </w:tc>
        <w:tc>
          <w:tcPr>
            <w:tcW w:w="160" w:type="dxa"/>
            <w:vAlign w:val="bottom"/>
            <w:tcBorders>
              <w:left w:val="single" w:sz="8" w:color="CFF0FC"/>
            </w:tcBorders>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tcBorders>
              <w:left w:val="single" w:sz="8" w:color="CFF0FC"/>
            </w:tcBorders>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174,869</w:t>
            </w:r>
          </w:p>
        </w:tc>
        <w:tc>
          <w:tcPr>
            <w:tcW w:w="100" w:type="dxa"/>
            <w:vAlign w:val="bottom"/>
            <w:shd w:val="clear" w:color="auto" w:fill="CFF0FC"/>
          </w:tcPr>
          <w:p>
            <w:pPr>
              <w:spacing w:after="0"/>
              <w:rPr>
                <w:sz w:val="12"/>
                <w:szCs w:val="12"/>
                <w:color w:val="auto"/>
              </w:rPr>
            </w:pP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Treasury notes</w:t>
            </w:r>
          </w:p>
        </w:tc>
        <w:tc>
          <w:tcPr>
            <w:tcW w:w="2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left w:val="single" w:sz="8" w:color="CFF0FC"/>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left w:val="single" w:sz="8" w:color="CFF0FC"/>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Arial" w:cs="Arial" w:eastAsia="Arial" w:hAnsi="Arial"/>
                <w:sz w:val="14"/>
                <w:szCs w:val="14"/>
                <w:color w:val="auto"/>
              </w:rPr>
              <w:t>174,869</w:t>
            </w:r>
          </w:p>
        </w:tc>
        <w:tc>
          <w:tcPr>
            <w:tcW w:w="120" w:type="dxa"/>
            <w:vAlign w:val="bottom"/>
          </w:tcPr>
          <w:p>
            <w:pPr>
              <w:spacing w:after="0"/>
              <w:rPr>
                <w:sz w:val="13"/>
                <w:szCs w:val="13"/>
                <w:color w:val="auto"/>
              </w:rPr>
            </w:pPr>
          </w:p>
        </w:tc>
        <w:tc>
          <w:tcPr>
            <w:tcW w:w="16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tcPr>
          <w:p>
            <w:pPr>
              <w:jc w:val="right"/>
              <w:ind w:right="8"/>
              <w:spacing w:after="0" w:line="152" w:lineRule="exact"/>
              <w:rPr>
                <w:sz w:val="20"/>
                <w:szCs w:val="20"/>
                <w:color w:val="auto"/>
              </w:rPr>
            </w:pPr>
            <w:r>
              <w:rPr>
                <w:rFonts w:ascii="Arial" w:cs="Arial" w:eastAsia="Arial" w:hAnsi="Arial"/>
                <w:sz w:val="14"/>
                <w:szCs w:val="14"/>
                <w:color w:val="auto"/>
              </w:rPr>
              <w:t>174,869</w:t>
            </w:r>
          </w:p>
        </w:tc>
        <w:tc>
          <w:tcPr>
            <w:tcW w:w="100" w:type="dxa"/>
            <w:vAlign w:val="bottom"/>
          </w:tcPr>
          <w:p>
            <w:pPr>
              <w:spacing w:after="0"/>
              <w:rPr>
                <w:sz w:val="13"/>
                <w:szCs w:val="13"/>
                <w:color w:val="auto"/>
              </w:rPr>
            </w:pPr>
          </w:p>
        </w:tc>
        <w:tc>
          <w:tcPr>
            <w:tcW w:w="10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tcPr>
          <w:p>
            <w:pPr>
              <w:jc w:val="right"/>
              <w:ind w:right="8"/>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Financial Liabilities:</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6,132</w:t>
            </w:r>
          </w:p>
        </w:tc>
        <w:tc>
          <w:tcPr>
            <w:tcW w:w="1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6,132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Warrant liability</w:t>
            </w:r>
          </w:p>
        </w:tc>
        <w:tc>
          <w:tcPr>
            <w:tcW w:w="2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left w:val="single" w:sz="8" w:color="CFF0FC"/>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left w:val="single" w:sz="8" w:color="CFF0FC"/>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Arial" w:cs="Arial" w:eastAsia="Arial" w:hAnsi="Arial"/>
                <w:sz w:val="14"/>
                <w:szCs w:val="14"/>
                <w:color w:val="auto"/>
              </w:rPr>
              <w:t>6,133</w:t>
            </w:r>
          </w:p>
        </w:tc>
        <w:tc>
          <w:tcPr>
            <w:tcW w:w="120" w:type="dxa"/>
            <w:vAlign w:val="bottom"/>
          </w:tcPr>
          <w:p>
            <w:pPr>
              <w:spacing w:after="0"/>
              <w:rPr>
                <w:sz w:val="13"/>
                <w:szCs w:val="13"/>
                <w:color w:val="auto"/>
              </w:rPr>
            </w:pPr>
          </w:p>
        </w:tc>
        <w:tc>
          <w:tcPr>
            <w:tcW w:w="16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tcPr>
          <w:p>
            <w:pPr>
              <w:jc w:val="right"/>
              <w:ind w:right="8"/>
              <w:spacing w:after="0" w:line="152" w:lineRule="exact"/>
              <w:rPr>
                <w:sz w:val="20"/>
                <w:szCs w:val="20"/>
                <w:color w:val="auto"/>
              </w:rPr>
            </w:pPr>
            <w:r>
              <w:rPr>
                <w:rFonts w:ascii="Arial" w:cs="Arial" w:eastAsia="Arial" w:hAnsi="Arial"/>
                <w:sz w:val="14"/>
                <w:szCs w:val="14"/>
                <w:color w:val="auto"/>
              </w:rPr>
              <w:t>6,133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7" w:lineRule="exact"/>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2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identical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inputs (Level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Financial Assets:</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Money market funds</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51,574</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51,574</w:t>
            </w: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4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20"/>
              <w:spacing w:after="0" w:line="152" w:lineRule="exact"/>
              <w:rPr>
                <w:sz w:val="20"/>
                <w:szCs w:val="20"/>
                <w:color w:val="auto"/>
              </w:rPr>
            </w:pPr>
            <w:r>
              <w:rPr>
                <w:rFonts w:ascii="Arial" w:cs="Arial" w:eastAsia="Arial" w:hAnsi="Arial"/>
                <w:sz w:val="14"/>
                <w:szCs w:val="14"/>
                <w:color w:val="auto"/>
              </w:rPr>
              <w:t>51,574</w:t>
            </w:r>
          </w:p>
        </w:tc>
        <w:tc>
          <w:tcPr>
            <w:tcW w:w="240" w:type="dxa"/>
            <w:vAlign w:val="bottom"/>
            <w:tcBorders>
              <w:left w:val="single" w:sz="8" w:color="CFF0FC"/>
            </w:tcBorders>
            <w:gridSpan w:val="2"/>
            <w:shd w:val="clear" w:color="auto" w:fill="CFF0FC"/>
          </w:tcPr>
          <w:p>
            <w:pPr>
              <w:ind w:left="160"/>
              <w:spacing w:after="0" w:line="152"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51,574</w:t>
            </w:r>
          </w:p>
        </w:tc>
        <w:tc>
          <w:tcPr>
            <w:tcW w:w="300" w:type="dxa"/>
            <w:vAlign w:val="bottom"/>
            <w:tcBorders>
              <w:left w:val="single" w:sz="8" w:color="CFF0FC"/>
            </w:tcBorders>
            <w:gridSpan w:val="2"/>
            <w:shd w:val="clear" w:color="auto" w:fill="CFF0FC"/>
          </w:tcPr>
          <w:p>
            <w:pPr>
              <w:ind w:left="180"/>
              <w:spacing w:after="0" w:line="15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80" w:type="dxa"/>
            <w:vAlign w:val="bottom"/>
            <w:gridSpan w:val="3"/>
            <w:shd w:val="clear" w:color="auto" w:fill="CFF0FC"/>
          </w:tcPr>
          <w:p>
            <w:pPr>
              <w:ind w:left="100"/>
              <w:spacing w:after="0" w:line="152"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44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440" w:type="dxa"/>
            <w:vAlign w:val="bottom"/>
            <w:shd w:val="clear" w:color="auto" w:fill="CFF0FC"/>
          </w:tcPr>
          <w:p>
            <w:pPr>
              <w:spacing w:after="0" w:line="147" w:lineRule="exact"/>
              <w:rPr>
                <w:sz w:val="20"/>
                <w:szCs w:val="20"/>
                <w:color w:val="auto"/>
              </w:rPr>
            </w:pPr>
            <w:r>
              <w:rPr>
                <w:rFonts w:ascii="Arial" w:cs="Arial" w:eastAsia="Arial" w:hAnsi="Arial"/>
                <w:sz w:val="14"/>
                <w:szCs w:val="14"/>
                <w:color w:val="auto"/>
              </w:rPr>
              <w:t>U.S. Treasury bills and U.S. Treasury</w:t>
            </w:r>
          </w:p>
        </w:tc>
        <w:tc>
          <w:tcPr>
            <w:tcW w:w="24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70,218</w:t>
            </w:r>
          </w:p>
        </w:tc>
        <w:tc>
          <w:tcPr>
            <w:tcW w:w="240" w:type="dxa"/>
            <w:vAlign w:val="bottom"/>
            <w:tcBorders>
              <w:left w:val="single" w:sz="8" w:color="CFF0FC"/>
            </w:tcBorders>
            <w:gridSpan w:val="2"/>
            <w:vMerge w:val="restart"/>
            <w:shd w:val="clear" w:color="auto" w:fill="CFF0FC"/>
          </w:tcPr>
          <w:p>
            <w:pPr>
              <w:ind w:left="160"/>
              <w:spacing w:after="0"/>
              <w:rPr>
                <w:sz w:val="20"/>
                <w:szCs w:val="20"/>
                <w:color w:val="auto"/>
              </w:rPr>
            </w:pPr>
            <w:r>
              <w:rPr>
                <w:rFonts w:ascii="Arial" w:cs="Arial" w:eastAsia="Arial" w:hAnsi="Arial"/>
                <w:sz w:val="14"/>
                <w:szCs w:val="14"/>
                <w:color w:val="auto"/>
                <w:w w:val="76"/>
              </w:rPr>
              <w:t>$</w:t>
            </w:r>
          </w:p>
        </w:tc>
        <w:tc>
          <w:tcPr>
            <w:tcW w:w="11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left w:val="single" w:sz="8" w:color="CFF0FC"/>
            </w:tcBorders>
            <w:gridSpan w:val="2"/>
            <w:vMerge w:val="restart"/>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70,218</w:t>
            </w:r>
          </w:p>
        </w:tc>
        <w:tc>
          <w:tcPr>
            <w:tcW w:w="180" w:type="dxa"/>
            <w:vAlign w:val="bottom"/>
            <w:gridSpan w:val="3"/>
            <w:vMerge w:val="restart"/>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notes</w:t>
            </w:r>
          </w:p>
        </w:tc>
        <w:tc>
          <w:tcPr>
            <w:tcW w:w="24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240" w:type="dxa"/>
            <w:vAlign w:val="bottom"/>
            <w:tcBorders>
              <w:left w:val="single" w:sz="8" w:color="CFF0FC"/>
            </w:tcBorders>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300" w:type="dxa"/>
            <w:vAlign w:val="bottom"/>
            <w:tcBorders>
              <w:left w:val="single" w:sz="8" w:color="CFF0FC"/>
            </w:tcBorders>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80" w:type="dxa"/>
            <w:vAlign w:val="bottom"/>
            <w:gridSpan w:val="3"/>
            <w:vMerge w:val="continue"/>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jc w:val="right"/>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
              <w:spacing w:after="0" w:line="152" w:lineRule="exact"/>
              <w:rPr>
                <w:sz w:val="20"/>
                <w:szCs w:val="20"/>
                <w:color w:val="auto"/>
              </w:rPr>
            </w:pPr>
            <w:r>
              <w:rPr>
                <w:rFonts w:ascii="Arial" w:cs="Arial" w:eastAsia="Arial" w:hAnsi="Arial"/>
                <w:sz w:val="14"/>
                <w:szCs w:val="14"/>
                <w:color w:val="auto"/>
              </w:rPr>
              <w:t>70,218</w:t>
            </w:r>
          </w:p>
        </w:tc>
        <w:tc>
          <w:tcPr>
            <w:tcW w:w="240" w:type="dxa"/>
            <w:vAlign w:val="bottom"/>
            <w:gridSpan w:val="2"/>
          </w:tcPr>
          <w:p>
            <w:pPr>
              <w:ind w:left="160"/>
              <w:spacing w:after="0" w:line="152"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70,218</w:t>
            </w:r>
          </w:p>
        </w:tc>
        <w:tc>
          <w:tcPr>
            <w:tcW w:w="180" w:type="dxa"/>
            <w:vAlign w:val="bottom"/>
            <w:gridSpan w:val="3"/>
          </w:tcPr>
          <w:p>
            <w:pPr>
              <w:ind w:left="100"/>
              <w:spacing w:after="0" w:line="152"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Financial Liabilities:</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10,179</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10,179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Warrant liability</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45</w:t>
            </w:r>
          </w:p>
        </w:tc>
        <w:tc>
          <w:tcPr>
            <w:tcW w:w="160" w:type="dxa"/>
            <w:vAlign w:val="bottom"/>
            <w:tcBorders>
              <w:left w:val="single" w:sz="8" w:color="CFF0FC"/>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FF0FC"/>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52" w:lineRule="exact"/>
              <w:rPr>
                <w:sz w:val="20"/>
                <w:szCs w:val="20"/>
                <w:color w:val="auto"/>
              </w:rPr>
            </w:pPr>
            <w:r>
              <w:rPr>
                <w:rFonts w:ascii="Arial" w:cs="Arial" w:eastAsia="Arial" w:hAnsi="Arial"/>
                <w:sz w:val="14"/>
                <w:szCs w:val="14"/>
                <w:color w:val="auto"/>
              </w:rPr>
              <w:t>10,224</w:t>
            </w:r>
          </w:p>
        </w:tc>
        <w:tc>
          <w:tcPr>
            <w:tcW w:w="240" w:type="dxa"/>
            <w:vAlign w:val="bottom"/>
            <w:gridSpan w:val="2"/>
          </w:tcPr>
          <w:p>
            <w:pPr>
              <w:ind w:left="160"/>
              <w:spacing w:after="0" w:line="152"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80" w:type="dxa"/>
            <w:vAlign w:val="bottom"/>
            <w:gridSpan w:val="3"/>
          </w:tcPr>
          <w:p>
            <w:pPr>
              <w:ind w:left="100"/>
              <w:spacing w:after="0" w:line="152"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line="152" w:lineRule="exact"/>
              <w:rPr>
                <w:sz w:val="20"/>
                <w:szCs w:val="20"/>
                <w:color w:val="auto"/>
              </w:rPr>
            </w:pPr>
            <w:r>
              <w:rPr>
                <w:rFonts w:ascii="Arial" w:cs="Arial" w:eastAsia="Arial" w:hAnsi="Arial"/>
                <w:sz w:val="14"/>
                <w:szCs w:val="14"/>
                <w:color w:val="auto"/>
              </w:rPr>
              <w:t>10,224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-2836545</wp:posOffset>
            </wp:positionV>
            <wp:extent cx="7493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-2822575</wp:posOffset>
            </wp:positionV>
            <wp:extent cx="7493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-2836545</wp:posOffset>
            </wp:positionV>
            <wp:extent cx="7493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-2822575</wp:posOffset>
            </wp:positionV>
            <wp:extent cx="7493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-2836545</wp:posOffset>
            </wp:positionV>
            <wp:extent cx="7493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-2822575</wp:posOffset>
            </wp:positionV>
            <wp:extent cx="7493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-2515870</wp:posOffset>
            </wp:positionV>
            <wp:extent cx="7493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-2515870</wp:posOffset>
            </wp:positionV>
            <wp:extent cx="7493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-2515870</wp:posOffset>
            </wp:positionV>
            <wp:extent cx="7493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-2078990</wp:posOffset>
            </wp:positionV>
            <wp:extent cx="7493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-2078990</wp:posOffset>
            </wp:positionV>
            <wp:extent cx="7493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-2078990</wp:posOffset>
            </wp:positionV>
            <wp:extent cx="7493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-885825</wp:posOffset>
            </wp:positionV>
            <wp:extent cx="6794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-872490</wp:posOffset>
            </wp:positionV>
            <wp:extent cx="6794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-885825</wp:posOffset>
            </wp:positionV>
            <wp:extent cx="6794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-872490</wp:posOffset>
            </wp:positionV>
            <wp:extent cx="6794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-885825</wp:posOffset>
            </wp:positionV>
            <wp:extent cx="6794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-872490</wp:posOffset>
            </wp:positionV>
            <wp:extent cx="6794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-565150</wp:posOffset>
            </wp:positionV>
            <wp:extent cx="6794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-565150</wp:posOffset>
            </wp:positionV>
            <wp:extent cx="6794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-565150</wp:posOffset>
            </wp:positionV>
            <wp:extent cx="6794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-128905</wp:posOffset>
            </wp:positionV>
            <wp:extent cx="6794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-128905</wp:posOffset>
            </wp:positionV>
            <wp:extent cx="6794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-128905</wp:posOffset>
            </wp:positionV>
            <wp:extent cx="6794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There were no changes in valuation techniques or transfers between Levels 1, 2 or 3 for the periods presented.</w:t>
      </w:r>
    </w:p>
    <w:p>
      <w:pPr>
        <w:spacing w:after="0" w:line="172"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Marketable securities classified as Level 2 within the valuation hierarchy generally consist of U.S. Treasury bills and U.S. Treasury notes. The Company estimates the fair values of marketable securities by taking into consideration valuations obtained from third-party pricing sources.</w:t>
      </w:r>
    </w:p>
    <w:p>
      <w:pPr>
        <w:spacing w:after="0" w:line="151" w:lineRule="exact"/>
        <w:rPr>
          <w:sz w:val="20"/>
          <w:szCs w:val="20"/>
          <w:color w:val="auto"/>
        </w:rPr>
      </w:pPr>
    </w:p>
    <w:p>
      <w:pPr>
        <w:jc w:val="both"/>
        <w:ind w:left="640" w:right="639"/>
        <w:spacing w:after="0" w:line="261" w:lineRule="auto"/>
        <w:rPr>
          <w:sz w:val="20"/>
          <w:szCs w:val="20"/>
          <w:color w:val="auto"/>
        </w:rPr>
      </w:pPr>
      <w:r>
        <w:rPr>
          <w:rFonts w:ascii="Arial" w:cs="Arial" w:eastAsia="Arial" w:hAnsi="Arial"/>
          <w:sz w:val="14"/>
          <w:szCs w:val="14"/>
          <w:color w:val="auto"/>
        </w:rPr>
        <w:t>The Company’s other financial instruments not carried at fair value consist primarily of cash and cash equivalents (except investments in money market funds, as disclosed above), accounts payable and accrued expenses and other current liabilities, for which fair values approximate their carrying amounts, due to the short-term nature of these instruments.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Valuation of Contingent Consideration</w:t>
      </w:r>
    </w:p>
    <w:p>
      <w:pPr>
        <w:spacing w:after="0" w:line="170" w:lineRule="exact"/>
        <w:rPr>
          <w:sz w:val="20"/>
          <w:szCs w:val="20"/>
          <w:color w:val="auto"/>
        </w:rPr>
      </w:pPr>
    </w:p>
    <w:p>
      <w:pPr>
        <w:jc w:val="both"/>
        <w:ind w:left="640" w:right="639"/>
        <w:spacing w:after="0" w:line="254" w:lineRule="auto"/>
        <w:rPr>
          <w:sz w:val="20"/>
          <w:szCs w:val="20"/>
          <w:color w:val="auto"/>
        </w:rPr>
      </w:pPr>
      <w:r>
        <w:rPr>
          <w:rFonts w:ascii="Arial" w:cs="Arial" w:eastAsia="Arial" w:hAnsi="Arial"/>
          <w:sz w:val="14"/>
          <w:szCs w:val="14"/>
          <w:color w:val="auto"/>
        </w:rPr>
        <w:t>The contingent consideration in the below tables relates to the estimated fair value of future payments that may be made by the Company to the members of IFM Discovery, LLC (“IFM”) and Rahko as described below. The fair value of the contingent consideration was determined based on significant inputs not observable in the market, which represent Level 3 measurements.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2" w:name="page253"/>
    <w:bookmarkEnd w:id="25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IFM</w:t>
      </w:r>
    </w:p>
    <w:p>
      <w:pPr>
        <w:spacing w:after="0" w:line="170"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In May 2022, the Company acquired all of the membership interests in IFM. The total purchase consideration was $3.1 million, which consisted of the following: (i) 81,240 shares of non-voting common stock at closing with the estimated fair value of $0.2 million, (ii) cash consideration of $0.9 million at closing, (iii) a deferred payment of $0.9 million, which was paid in June 2022 and (iv) contingent consideration in cash of up to $30.0 million, payable once for each of the NLR family pyrin domain containing 1 (“NLRP1”) and melanoma differentiation-associated protein 5 (“MDA5”) programs upon the first achievement of certain development, commercial, regulatory and sales milestones related to each such program. The estimated fair value of the contingent consideration was determined to be $1.1 million on the acquisition date. The contingent consideration is remeasured at each balance sheet date.</w:t>
      </w:r>
    </w:p>
    <w:p>
      <w:pPr>
        <w:spacing w:after="0" w:line="140" w:lineRule="exact"/>
        <w:rPr>
          <w:sz w:val="20"/>
          <w:szCs w:val="20"/>
          <w:color w:val="auto"/>
        </w:rPr>
      </w:pPr>
    </w:p>
    <w:p>
      <w:pPr>
        <w:jc w:val="both"/>
        <w:ind w:left="640" w:right="659"/>
        <w:spacing w:after="0" w:line="245" w:lineRule="auto"/>
        <w:rPr>
          <w:sz w:val="20"/>
          <w:szCs w:val="20"/>
          <w:color w:val="auto"/>
        </w:rPr>
      </w:pPr>
      <w:r>
        <w:rPr>
          <w:rFonts w:ascii="Arial" w:cs="Arial" w:eastAsia="Arial" w:hAnsi="Arial"/>
          <w:sz w:val="14"/>
          <w:szCs w:val="14"/>
          <w:color w:val="auto"/>
        </w:rPr>
        <w:t>The fair value of the contingent consideration related to development, commercial, regulatory and sales milestones was based on the discounted cash flow valuation technique. The technique considered the following assumptions: (i) the probability and timing of achieving the specified milestones as of the valuation date and (ii) the market-based discount rates, with the most significant assumptions being the timing of the projected milestones and the probability of the milestones being achieved. The fair value of the contingent consideration could change in future periods depending on the prospects for the Company’s MDA5 and NLRP1 drug discovery programs acquired as part of the IFM transaction achieving development, commercial, regulatory and sales milestones. The estimated fair value of the contingent consideration as of December 31, 2025 and 2024, related to the IFM acquisition, was $1.4 million and $1.7 million, respectively.</w:t>
      </w:r>
    </w:p>
    <w:p>
      <w:pPr>
        <w:spacing w:after="0" w:line="307"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following table sets forth the significant inputs to the discounted cash flow technique used to value contingent consideration for IFM as of December 31, 2025 and 2024:</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080" w:type="dxa"/>
            <w:vAlign w:val="bottom"/>
          </w:tcPr>
          <w:p>
            <w:pPr>
              <w:spacing w:after="0"/>
              <w:rPr>
                <w:sz w:val="20"/>
                <w:szCs w:val="20"/>
                <w:color w:val="auto"/>
              </w:rPr>
            </w:pPr>
            <w:r>
              <w:rPr>
                <w:rFonts w:ascii="Arial" w:cs="Arial" w:eastAsia="Arial" w:hAnsi="Arial"/>
                <w:sz w:val="14"/>
                <w:szCs w:val="14"/>
                <w:b w:val="1"/>
                <w:bCs w:val="1"/>
                <w:color w:val="auto"/>
              </w:rPr>
              <w:t>Significant Unobservable Inputs</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5"/>
                <w:szCs w:val="15"/>
                <w:color w:val="auto"/>
              </w:rPr>
            </w:pPr>
          </w:p>
        </w:tc>
        <w:tc>
          <w:tcPr>
            <w:tcW w:w="1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December 31, 2024</w:t>
            </w:r>
          </w:p>
        </w:tc>
      </w:tr>
      <w:tr>
        <w:trPr>
          <w:trHeight w:val="152"/>
        </w:trPr>
        <w:tc>
          <w:tcPr>
            <w:tcW w:w="408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Discount rate</w:t>
            </w:r>
          </w:p>
        </w:tc>
        <w:tc>
          <w:tcPr>
            <w:tcW w:w="15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15.6%</w:t>
            </w:r>
          </w:p>
        </w:tc>
        <w:tc>
          <w:tcPr>
            <w:tcW w:w="210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10.5%</w:t>
            </w:r>
          </w:p>
        </w:tc>
      </w:tr>
      <w:tr>
        <w:trPr>
          <w:trHeight w:val="161"/>
        </w:trPr>
        <w:tc>
          <w:tcPr>
            <w:tcW w:w="4080" w:type="dxa"/>
            <w:vAlign w:val="bottom"/>
          </w:tcPr>
          <w:p>
            <w:pPr>
              <w:spacing w:after="0"/>
              <w:rPr>
                <w:sz w:val="20"/>
                <w:szCs w:val="20"/>
                <w:color w:val="auto"/>
              </w:rPr>
            </w:pPr>
            <w:r>
              <w:rPr>
                <w:rFonts w:ascii="Arial" w:cs="Arial" w:eastAsia="Arial" w:hAnsi="Arial"/>
                <w:sz w:val="14"/>
                <w:szCs w:val="14"/>
                <w:color w:val="auto"/>
              </w:rPr>
              <w:t>Projected milestone timing</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2.25 to 11.75 Years</w:t>
            </w:r>
          </w:p>
        </w:tc>
        <w:tc>
          <w:tcPr>
            <w:tcW w:w="120" w:type="dxa"/>
            <w:vAlign w:val="bottom"/>
          </w:tcPr>
          <w:p>
            <w:pPr>
              <w:spacing w:after="0"/>
              <w:rPr>
                <w:sz w:val="14"/>
                <w:szCs w:val="14"/>
                <w:color w:val="auto"/>
              </w:rPr>
            </w:pP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3 to 11.25 Years</w:t>
            </w:r>
          </w:p>
        </w:tc>
      </w:tr>
      <w:tr>
        <w:trPr>
          <w:trHeight w:val="161"/>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Probability of milestone achievement - NLRP1 program</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 - 35.0%</w:t>
            </w:r>
          </w:p>
        </w:tc>
        <w:tc>
          <w:tcPr>
            <w:tcW w:w="21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5.0% - 35.0%</w:t>
            </w:r>
          </w:p>
        </w:tc>
      </w:tr>
      <w:tr>
        <w:trPr>
          <w:trHeight w:val="190"/>
        </w:trPr>
        <w:tc>
          <w:tcPr>
            <w:tcW w:w="4080" w:type="dxa"/>
            <w:vAlign w:val="bottom"/>
          </w:tcPr>
          <w:p>
            <w:pPr>
              <w:spacing w:after="0"/>
              <w:rPr>
                <w:sz w:val="20"/>
                <w:szCs w:val="20"/>
                <w:color w:val="auto"/>
              </w:rPr>
            </w:pPr>
            <w:r>
              <w:rPr>
                <w:rFonts w:ascii="Arial" w:cs="Arial" w:eastAsia="Arial" w:hAnsi="Arial"/>
                <w:sz w:val="14"/>
                <w:szCs w:val="14"/>
                <w:color w:val="auto"/>
              </w:rPr>
              <w:t>Probability of milestone achievement - MDA5 program</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5.0% - 35.0%</w:t>
            </w:r>
          </w:p>
        </w:tc>
        <w:tc>
          <w:tcPr>
            <w:tcW w:w="2100" w:type="dxa"/>
            <w:vAlign w:val="bottom"/>
            <w:gridSpan w:val="2"/>
          </w:tcPr>
          <w:p>
            <w:pPr>
              <w:jc w:val="right"/>
              <w:ind w:right="68"/>
              <w:spacing w:after="0"/>
              <w:rPr>
                <w:sz w:val="20"/>
                <w:szCs w:val="20"/>
                <w:color w:val="auto"/>
              </w:rPr>
            </w:pPr>
            <w:r>
              <w:rPr>
                <w:rFonts w:ascii="Arial" w:cs="Arial" w:eastAsia="Arial" w:hAnsi="Arial"/>
                <w:sz w:val="14"/>
                <w:szCs w:val="14"/>
                <w:color w:val="auto"/>
              </w:rPr>
              <w:t>5.0% - 35.0%</w:t>
            </w:r>
          </w:p>
        </w:tc>
      </w:tr>
    </w:tbl>
    <w:p>
      <w:pPr>
        <w:spacing w:after="0" w:line="129"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Significant increases or decreases in these inputs could result in a significantly lower or higher fair value measurement of the contingent consideration liability.</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Rahko</w:t>
      </w:r>
    </w:p>
    <w:p>
      <w:pPr>
        <w:spacing w:after="0" w:line="170" w:lineRule="exact"/>
        <w:rPr>
          <w:sz w:val="20"/>
          <w:szCs w:val="20"/>
          <w:color w:val="auto"/>
        </w:rPr>
      </w:pPr>
    </w:p>
    <w:p>
      <w:pPr>
        <w:jc w:val="both"/>
        <w:ind w:left="640" w:right="659"/>
        <w:spacing w:after="0" w:line="243" w:lineRule="auto"/>
        <w:rPr>
          <w:sz w:val="20"/>
          <w:szCs w:val="20"/>
          <w:color w:val="auto"/>
        </w:rPr>
      </w:pPr>
      <w:r>
        <w:rPr>
          <w:rFonts w:ascii="Arial" w:cs="Arial" w:eastAsia="Arial" w:hAnsi="Arial"/>
          <w:sz w:val="14"/>
          <w:szCs w:val="14"/>
          <w:color w:val="auto"/>
        </w:rPr>
        <w:t>The Rahko acquisition included additional consideration payable of up to $30.0 million to the previous shareholders of Rahko upon the achievement of certain qualifying events, including (a) following the Company’s completion of an initial public offering (“IPO”) or public listing of the Company’s shares on certain designated exchanges, upon the first occurrence of the total market capitalization of the Company being equal to or in excess of $1.5 billion, or (b) an exit event such as (i) a transaction or transactions by which more than 50% of the combined voting power of then outstanding voting securities of the Company are acquired, (ii) consolidation or merger of the Company into another entity, or (iii) sale or disposition of substantially all of the assets of the Company, in each case for which the potential proceeds are equal to or in excess of $1.5 billion. The fair value of the contingent consideration was determined based on a Monte-Carlo simulation model that utilizes a geometric Brownian motion to estimate the equity value of the Company at expected qualifying event dates. The Company applied risk-free rate, volatility and discount rate assumptions to simulate the expected equity value of the Company as of the expected qualifying event dates. The risk-free rate was based upon the interest rates corresponding to the time period for U.S. Treasury notes published by the U.S. Federal Reserve. The volatility was estimated based on equity volatility indications from the guideline public companies and the capital structure of the Company.</w:t>
      </w:r>
    </w:p>
    <w:p>
      <w:pPr>
        <w:spacing w:after="0" w:line="308"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The contingent consideration as of the date when the Company has met the certain market capitalization threshold following a certain qualifying event was discounted to the measurement date using a discount rate that is based on all-in market yields for publicly traded debt securities of comparable credit quality to the contingent consideration payments. The discounted amount of contingent consideration and the equity values are subject to the Monte-Carlo simulations for 100,000 trials to derive the fair value of the contingent consideration. The estimated contingent consideration liability as of December 31, 2025 and 2024, related to the Rahko acquisition was $4.7 million and $8.5 million, respectively.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3" w:name="page254"/>
    <w:bookmarkEnd w:id="25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following table sets forth the probability of completing an IPO (measured as a standalone metric separate from the other necessary triggers for the contingent consideration related to the Rahko acquisition), which was a significant input to the Monte-Carlo simulation used to value such contingent consideration: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2025</w:t>
      </w:r>
    </w:p>
    <w:p>
      <w:pPr>
        <w:spacing w:after="0" w:line="1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Risk Free Rate</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Probability of</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Applied to</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76"/>
        </w:trPr>
        <w:tc>
          <w:tcPr>
            <w:tcW w:w="20" w:type="dxa"/>
            <w:vAlign w:val="bottom"/>
          </w:tcPr>
          <w:p>
            <w:pPr>
              <w:spacing w:after="0"/>
              <w:rPr>
                <w:sz w:val="15"/>
                <w:szCs w:val="15"/>
                <w:color w:val="auto"/>
              </w:rPr>
            </w:pPr>
          </w:p>
        </w:tc>
        <w:tc>
          <w:tcPr>
            <w:tcW w:w="2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Expected IPO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IPO Event</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Discount Rates</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 Value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Volatility</w:t>
            </w:r>
          </w:p>
        </w:tc>
      </w:tr>
      <w:tr>
        <w:trPr>
          <w:trHeight w:val="152"/>
        </w:trPr>
        <w:tc>
          <w:tcPr>
            <w:tcW w:w="20" w:type="dxa"/>
            <w:vAlign w:val="bottom"/>
          </w:tcPr>
          <w:p>
            <w:pPr>
              <w:spacing w:after="0"/>
              <w:rPr>
                <w:sz w:val="13"/>
                <w:szCs w:val="13"/>
                <w:color w:val="auto"/>
              </w:rPr>
            </w:pPr>
          </w:p>
        </w:tc>
        <w:tc>
          <w:tcPr>
            <w:tcW w:w="2800" w:type="dxa"/>
            <w:vAlign w:val="bottom"/>
          </w:tcPr>
          <w:p>
            <w:pPr>
              <w:spacing w:after="0" w:line="152" w:lineRule="exact"/>
              <w:rPr>
                <w:sz w:val="20"/>
                <w:szCs w:val="20"/>
                <w:color w:val="auto"/>
              </w:rPr>
            </w:pPr>
            <w:r>
              <w:rPr>
                <w:rFonts w:ascii="Arial" w:cs="Arial" w:eastAsia="Arial" w:hAnsi="Arial"/>
                <w:sz w:val="14"/>
                <w:szCs w:val="14"/>
                <w:color w:val="auto"/>
              </w:rPr>
              <w:t>May 31, 2026</w:t>
            </w:r>
          </w:p>
        </w:tc>
        <w:tc>
          <w:tcPr>
            <w:tcW w:w="10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color w:val="auto"/>
                <w:w w:val="99"/>
              </w:rPr>
              <w:t>15%</w:t>
            </w:r>
          </w:p>
        </w:tc>
        <w:tc>
          <w:tcPr>
            <w:tcW w:w="100" w:type="dxa"/>
            <w:vAlign w:val="bottom"/>
          </w:tcPr>
          <w:p>
            <w:pPr>
              <w:spacing w:after="0"/>
              <w:rPr>
                <w:sz w:val="13"/>
                <w:szCs w:val="13"/>
                <w:color w:val="auto"/>
              </w:rPr>
            </w:pPr>
          </w:p>
        </w:tc>
        <w:tc>
          <w:tcPr>
            <w:tcW w:w="1340" w:type="dxa"/>
            <w:vAlign w:val="bottom"/>
          </w:tcPr>
          <w:p>
            <w:pPr>
              <w:jc w:val="center"/>
              <w:spacing w:after="0" w:line="152" w:lineRule="exact"/>
              <w:rPr>
                <w:sz w:val="20"/>
                <w:szCs w:val="20"/>
                <w:color w:val="auto"/>
              </w:rPr>
            </w:pPr>
            <w:r>
              <w:rPr>
                <w:rFonts w:ascii="Arial" w:cs="Arial" w:eastAsia="Arial" w:hAnsi="Arial"/>
                <w:sz w:val="14"/>
                <w:szCs w:val="14"/>
                <w:color w:val="auto"/>
              </w:rPr>
              <w:t>15.3% - 16.1%</w:t>
            </w:r>
          </w:p>
        </w:tc>
        <w:tc>
          <w:tcPr>
            <w:tcW w:w="1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color w:val="auto"/>
              </w:rPr>
              <w:t>96.2%</w:t>
            </w:r>
          </w:p>
        </w:tc>
      </w:tr>
      <w:tr>
        <w:trPr>
          <w:trHeight w:val="161"/>
        </w:trPr>
        <w:tc>
          <w:tcPr>
            <w:tcW w:w="20" w:type="dxa"/>
            <w:vAlign w:val="bottom"/>
          </w:tcPr>
          <w:p>
            <w:pPr>
              <w:spacing w:after="0"/>
              <w:rPr>
                <w:sz w:val="14"/>
                <w:szCs w:val="14"/>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December 30, 2026</w:t>
            </w:r>
          </w:p>
        </w:tc>
        <w:tc>
          <w:tcPr>
            <w:tcW w:w="11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9"/>
              </w:rPr>
              <w:t>14%</w:t>
            </w:r>
          </w:p>
        </w:tc>
        <w:tc>
          <w:tcPr>
            <w:tcW w:w="144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15.3% - 16.0%</w:t>
            </w:r>
          </w:p>
        </w:tc>
        <w:tc>
          <w:tcPr>
            <w:tcW w:w="120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4.2%</w:t>
            </w:r>
          </w:p>
        </w:tc>
        <w:tc>
          <w:tcPr>
            <w:tcW w:w="116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rPr>
              <w:t>96.4%</w:t>
            </w: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February 28, 2027</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14%</w:t>
            </w:r>
          </w:p>
        </w:tc>
        <w:tc>
          <w:tcPr>
            <w:tcW w:w="1440" w:type="dxa"/>
            <w:vAlign w:val="bottom"/>
            <w:gridSpan w:val="2"/>
          </w:tcPr>
          <w:p>
            <w:pPr>
              <w:jc w:val="center"/>
              <w:ind w:left="28"/>
              <w:spacing w:after="0"/>
              <w:rPr>
                <w:sz w:val="20"/>
                <w:szCs w:val="20"/>
                <w:color w:val="auto"/>
              </w:rPr>
            </w:pPr>
            <w:r>
              <w:rPr>
                <w:rFonts w:ascii="Arial" w:cs="Arial" w:eastAsia="Arial" w:hAnsi="Arial"/>
                <w:sz w:val="14"/>
                <w:szCs w:val="14"/>
                <w:color w:val="auto"/>
              </w:rPr>
              <w:t>15.3% - 16.0%</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4.3%</w:t>
            </w:r>
          </w:p>
        </w:tc>
        <w:tc>
          <w:tcPr>
            <w:tcW w:w="1160" w:type="dxa"/>
            <w:vAlign w:val="bottom"/>
            <w:gridSpan w:val="2"/>
          </w:tcPr>
          <w:p>
            <w:pPr>
              <w:jc w:val="center"/>
              <w:ind w:left="8"/>
              <w:spacing w:after="0"/>
              <w:rPr>
                <w:sz w:val="20"/>
                <w:szCs w:val="20"/>
                <w:color w:val="auto"/>
              </w:rPr>
            </w:pPr>
            <w:r>
              <w:rPr>
                <w:rFonts w:ascii="Arial" w:cs="Arial" w:eastAsia="Arial" w:hAnsi="Arial"/>
                <w:sz w:val="14"/>
                <w:szCs w:val="14"/>
                <w:color w:val="auto"/>
              </w:rPr>
              <w:t>96.5%</w:t>
            </w:r>
          </w:p>
        </w:tc>
      </w:tr>
      <w:tr>
        <w:trPr>
          <w:trHeight w:val="161"/>
        </w:trPr>
        <w:tc>
          <w:tcPr>
            <w:tcW w:w="20" w:type="dxa"/>
            <w:vAlign w:val="bottom"/>
          </w:tcPr>
          <w:p>
            <w:pPr>
              <w:spacing w:after="0"/>
              <w:rPr>
                <w:sz w:val="14"/>
                <w:szCs w:val="14"/>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April 30, 2027</w:t>
            </w:r>
          </w:p>
        </w:tc>
        <w:tc>
          <w:tcPr>
            <w:tcW w:w="11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9"/>
              </w:rPr>
              <w:t>14%</w:t>
            </w:r>
          </w:p>
        </w:tc>
        <w:tc>
          <w:tcPr>
            <w:tcW w:w="144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15.3% - 16.0%</w:t>
            </w:r>
          </w:p>
        </w:tc>
        <w:tc>
          <w:tcPr>
            <w:tcW w:w="120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4.3%</w:t>
            </w:r>
          </w:p>
        </w:tc>
        <w:tc>
          <w:tcPr>
            <w:tcW w:w="116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rPr>
              <w:t>96.5%</w:t>
            </w:r>
          </w:p>
        </w:tc>
      </w:tr>
      <w:tr>
        <w:trPr>
          <w:trHeight w:val="190"/>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43%</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Varies</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Varies</w:t>
            </w:r>
          </w:p>
        </w:tc>
      </w:tr>
    </w:tbl>
    <w:p>
      <w:pPr>
        <w:spacing w:after="0" w:line="129"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*Reflects the probability weighted expected term of 1.83 years for the remaining scenarios between August 2027 and December 2027 with each scenario weighted 14.2% overall for an aggregate probability weight of 42.6%.</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2024</w:t>
      </w:r>
    </w:p>
    <w:p>
      <w:pPr>
        <w:spacing w:after="0" w:line="1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Risk Free Rate</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Probability of</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Applied to</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76"/>
        </w:trPr>
        <w:tc>
          <w:tcPr>
            <w:tcW w:w="20" w:type="dxa"/>
            <w:vAlign w:val="bottom"/>
          </w:tcPr>
          <w:p>
            <w:pPr>
              <w:spacing w:after="0"/>
              <w:rPr>
                <w:sz w:val="15"/>
                <w:szCs w:val="15"/>
                <w:color w:val="auto"/>
              </w:rPr>
            </w:pPr>
          </w:p>
        </w:tc>
        <w:tc>
          <w:tcPr>
            <w:tcW w:w="28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Expected IPO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IPO Event</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Discount Rates</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 Value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Volatility</w:t>
            </w:r>
          </w:p>
        </w:tc>
      </w:tr>
      <w:tr>
        <w:trPr>
          <w:trHeight w:val="152"/>
        </w:trPr>
        <w:tc>
          <w:tcPr>
            <w:tcW w:w="20" w:type="dxa"/>
            <w:vAlign w:val="bottom"/>
          </w:tcPr>
          <w:p>
            <w:pPr>
              <w:spacing w:after="0"/>
              <w:rPr>
                <w:sz w:val="13"/>
                <w:szCs w:val="13"/>
                <w:color w:val="auto"/>
              </w:rPr>
            </w:pPr>
          </w:p>
        </w:tc>
        <w:tc>
          <w:tcPr>
            <w:tcW w:w="2800" w:type="dxa"/>
            <w:vAlign w:val="bottom"/>
          </w:tcPr>
          <w:p>
            <w:pPr>
              <w:spacing w:after="0" w:line="152" w:lineRule="exact"/>
              <w:rPr>
                <w:sz w:val="20"/>
                <w:szCs w:val="20"/>
                <w:color w:val="auto"/>
              </w:rPr>
            </w:pPr>
            <w:r>
              <w:rPr>
                <w:rFonts w:ascii="Arial" w:cs="Arial" w:eastAsia="Arial" w:hAnsi="Arial"/>
                <w:sz w:val="14"/>
                <w:szCs w:val="14"/>
                <w:color w:val="auto"/>
              </w:rPr>
              <w:t>February 15, 2025</w:t>
            </w:r>
          </w:p>
        </w:tc>
        <w:tc>
          <w:tcPr>
            <w:tcW w:w="10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1340" w:type="dxa"/>
            <w:vAlign w:val="bottom"/>
          </w:tcPr>
          <w:p>
            <w:pPr>
              <w:jc w:val="center"/>
              <w:spacing w:after="0" w:line="152"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color w:val="auto"/>
              </w:rPr>
              <w:t>89.3%</w:t>
            </w:r>
          </w:p>
        </w:tc>
      </w:tr>
      <w:tr>
        <w:trPr>
          <w:trHeight w:val="161"/>
        </w:trPr>
        <w:tc>
          <w:tcPr>
            <w:tcW w:w="20" w:type="dxa"/>
            <w:vAlign w:val="bottom"/>
          </w:tcPr>
          <w:p>
            <w:pPr>
              <w:spacing w:after="0"/>
              <w:rPr>
                <w:sz w:val="14"/>
                <w:szCs w:val="14"/>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April 30, 2025</w:t>
            </w:r>
          </w:p>
        </w:tc>
        <w:tc>
          <w:tcPr>
            <w:tcW w:w="11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22%</w:t>
            </w:r>
          </w:p>
        </w:tc>
        <w:tc>
          <w:tcPr>
            <w:tcW w:w="144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11.3%</w:t>
            </w:r>
          </w:p>
        </w:tc>
        <w:tc>
          <w:tcPr>
            <w:tcW w:w="120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rPr>
              <w:t>4.6%</w:t>
            </w:r>
          </w:p>
        </w:tc>
        <w:tc>
          <w:tcPr>
            <w:tcW w:w="116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rPr>
              <w:t>89.5%</w:t>
            </w: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February 15, 2026</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color w:val="auto"/>
              </w:rPr>
              <w:t>4%</w:t>
            </w:r>
          </w:p>
        </w:tc>
        <w:tc>
          <w:tcPr>
            <w:tcW w:w="1440" w:type="dxa"/>
            <w:vAlign w:val="bottom"/>
            <w:gridSpan w:val="2"/>
          </w:tcPr>
          <w:p>
            <w:pPr>
              <w:jc w:val="center"/>
              <w:ind w:left="28"/>
              <w:spacing w:after="0"/>
              <w:rPr>
                <w:sz w:val="20"/>
                <w:szCs w:val="20"/>
                <w:color w:val="auto"/>
              </w:rPr>
            </w:pPr>
            <w:r>
              <w:rPr>
                <w:rFonts w:ascii="Arial" w:cs="Arial" w:eastAsia="Arial" w:hAnsi="Arial"/>
                <w:sz w:val="14"/>
                <w:szCs w:val="14"/>
                <w:color w:val="auto"/>
              </w:rPr>
              <w:t>11.3%</w:t>
            </w:r>
          </w:p>
        </w:tc>
        <w:tc>
          <w:tcPr>
            <w:tcW w:w="1200" w:type="dxa"/>
            <w:vAlign w:val="bottom"/>
            <w:gridSpan w:val="2"/>
          </w:tcPr>
          <w:p>
            <w:pPr>
              <w:jc w:val="center"/>
              <w:ind w:left="8"/>
              <w:spacing w:after="0"/>
              <w:rPr>
                <w:sz w:val="20"/>
                <w:szCs w:val="20"/>
                <w:color w:val="auto"/>
              </w:rPr>
            </w:pPr>
            <w:r>
              <w:rPr>
                <w:rFonts w:ascii="Arial" w:cs="Arial" w:eastAsia="Arial" w:hAnsi="Arial"/>
                <w:sz w:val="14"/>
                <w:szCs w:val="14"/>
                <w:color w:val="auto"/>
              </w:rPr>
              <w:t>4.6%</w:t>
            </w:r>
          </w:p>
        </w:tc>
        <w:tc>
          <w:tcPr>
            <w:tcW w:w="1160" w:type="dxa"/>
            <w:vAlign w:val="bottom"/>
            <w:gridSpan w:val="2"/>
          </w:tcPr>
          <w:p>
            <w:pPr>
              <w:jc w:val="center"/>
              <w:ind w:left="8"/>
              <w:spacing w:after="0"/>
              <w:rPr>
                <w:sz w:val="20"/>
                <w:szCs w:val="20"/>
                <w:color w:val="auto"/>
              </w:rPr>
            </w:pPr>
            <w:r>
              <w:rPr>
                <w:rFonts w:ascii="Arial" w:cs="Arial" w:eastAsia="Arial" w:hAnsi="Arial"/>
                <w:sz w:val="14"/>
                <w:szCs w:val="14"/>
                <w:color w:val="auto"/>
              </w:rPr>
              <w:t>88.9%</w:t>
            </w:r>
          </w:p>
        </w:tc>
      </w:tr>
      <w:tr>
        <w:trPr>
          <w:trHeight w:val="161"/>
        </w:trPr>
        <w:tc>
          <w:tcPr>
            <w:tcW w:w="20" w:type="dxa"/>
            <w:vAlign w:val="bottom"/>
          </w:tcPr>
          <w:p>
            <w:pPr>
              <w:spacing w:after="0"/>
              <w:rPr>
                <w:sz w:val="14"/>
                <w:szCs w:val="14"/>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August 15, 2026</w:t>
            </w:r>
          </w:p>
        </w:tc>
        <w:tc>
          <w:tcPr>
            <w:tcW w:w="11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4%</w:t>
            </w:r>
          </w:p>
        </w:tc>
        <w:tc>
          <w:tcPr>
            <w:tcW w:w="144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rPr>
              <w:t>11.3%</w:t>
            </w:r>
          </w:p>
        </w:tc>
        <w:tc>
          <w:tcPr>
            <w:tcW w:w="120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rPr>
              <w:t>4.6%</w:t>
            </w:r>
          </w:p>
        </w:tc>
        <w:tc>
          <w:tcPr>
            <w:tcW w:w="116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rPr>
              <w:t>89.6%</w:t>
            </w:r>
          </w:p>
        </w:tc>
      </w:tr>
      <w:tr>
        <w:trPr>
          <w:trHeight w:val="190"/>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color w:val="auto"/>
              </w:rPr>
              <w:t>25%</w:t>
            </w:r>
          </w:p>
        </w:tc>
        <w:tc>
          <w:tcPr>
            <w:tcW w:w="1440" w:type="dxa"/>
            <w:vAlign w:val="bottom"/>
            <w:gridSpan w:val="2"/>
          </w:tcPr>
          <w:p>
            <w:pPr>
              <w:jc w:val="center"/>
              <w:ind w:lef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Varies</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Varies</w:t>
            </w:r>
          </w:p>
        </w:tc>
      </w:tr>
    </w:tbl>
    <w:p>
      <w:pPr>
        <w:spacing w:after="0" w:line="129"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*Reflects the probability weighted expected term of 1.42 years for the remaining scenarios between July 2025 and March 2027 with each scenario weighted 2.5% overall for an aggregate probability weight of 25%.</w:t>
      </w:r>
    </w:p>
    <w:p>
      <w:pPr>
        <w:spacing w:after="0" w:line="116"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Significant increases or decreases in these inputs could result in a significantly lower or higher fair value measurement of the contingent consideration liability.</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Valuation of LSA Warrant Liability</w:t>
      </w:r>
    </w:p>
    <w:p>
      <w:pPr>
        <w:spacing w:after="0" w:line="170"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 xml:space="preserve">In March 2022, the Company issued a warrant to purchase up to 64,992 shares of Series A-2 convertible preferred stock, subject to vesting (the </w:t>
      </w:r>
      <w:r>
        <w:rPr>
          <w:rFonts w:ascii="Arial" w:cs="Arial" w:eastAsia="Arial" w:hAnsi="Arial"/>
          <w:sz w:val="14"/>
          <w:szCs w:val="14"/>
          <w:b w:val="1"/>
          <w:bCs w:val="1"/>
          <w:color w:val="auto"/>
        </w:rPr>
        <w:t>“</w:t>
      </w:r>
      <w:r>
        <w:rPr>
          <w:rFonts w:ascii="Arial" w:cs="Arial" w:eastAsia="Arial" w:hAnsi="Arial"/>
          <w:sz w:val="14"/>
          <w:szCs w:val="14"/>
          <w:color w:val="auto"/>
        </w:rPr>
        <w:t>LSA Warrants</w:t>
      </w:r>
      <w:r>
        <w:rPr>
          <w:rFonts w:ascii="Arial" w:cs="Arial" w:eastAsia="Arial" w:hAnsi="Arial"/>
          <w:sz w:val="14"/>
          <w:szCs w:val="14"/>
          <w:b w:val="1"/>
          <w:bCs w:val="1"/>
          <w:color w:val="auto"/>
        </w:rPr>
        <w:t>”</w:t>
      </w:r>
      <w:r>
        <w:rPr>
          <w:rFonts w:ascii="Arial" w:cs="Arial" w:eastAsia="Arial" w:hAnsi="Arial"/>
          <w:sz w:val="14"/>
          <w:szCs w:val="14"/>
          <w:color w:val="auto"/>
        </w:rPr>
        <w:t>) (see Note 12 for additional details of the transaction pursuant to which such LSA Warrant was issued). The LSA Warrant has an exercise price of $6.15 and will expire ten years from the date of issuance. As of December 31, 2025, the LSA Warrant, representing the right to purchase 16,248 shares of Series A-2 convertible preferred stock, was issued and outstanding. The right to purchase the remaining 48,744 shares was forfeited upon termination of the LSA.</w:t>
      </w:r>
    </w:p>
    <w:p>
      <w:pPr>
        <w:spacing w:after="0" w:line="140"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estimated fair value of the LSA Warrant liability was determined using an option pricing model with the following assumptions:</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080" w:type="dxa"/>
            <w:vAlign w:val="bottom"/>
          </w:tcPr>
          <w:p>
            <w:pPr>
              <w:spacing w:after="0"/>
              <w:rPr>
                <w:sz w:val="20"/>
                <w:szCs w:val="20"/>
                <w:color w:val="auto"/>
              </w:rPr>
            </w:pPr>
            <w:r>
              <w:rPr>
                <w:rFonts w:ascii="Arial" w:cs="Arial" w:eastAsia="Arial" w:hAnsi="Arial"/>
                <w:sz w:val="14"/>
                <w:szCs w:val="14"/>
                <w:b w:val="1"/>
                <w:bCs w:val="1"/>
                <w:color w:val="auto"/>
              </w:rPr>
              <w:t>Significant Unobservable Inputs</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5"/>
                <w:szCs w:val="15"/>
                <w:color w:val="auto"/>
              </w:rPr>
            </w:pPr>
          </w:p>
        </w:tc>
        <w:tc>
          <w:tcPr>
            <w:tcW w:w="1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December 31, 2024</w:t>
            </w:r>
          </w:p>
        </w:tc>
      </w:tr>
      <w:tr>
        <w:trPr>
          <w:trHeight w:val="152"/>
        </w:trPr>
        <w:tc>
          <w:tcPr>
            <w:tcW w:w="408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Expected term until a liquidity event (in years)</w:t>
            </w:r>
          </w:p>
        </w:tc>
        <w:tc>
          <w:tcPr>
            <w:tcW w:w="1560" w:type="dxa"/>
            <w:vAlign w:val="bottom"/>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rPr>
              <w:t>2</w:t>
            </w:r>
          </w:p>
        </w:tc>
        <w:tc>
          <w:tcPr>
            <w:tcW w:w="2100" w:type="dxa"/>
            <w:vAlign w:val="bottom"/>
            <w:gridSpan w:val="2"/>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2</w:t>
            </w:r>
          </w:p>
        </w:tc>
      </w:tr>
      <w:tr>
        <w:trPr>
          <w:trHeight w:val="161"/>
        </w:trPr>
        <w:tc>
          <w:tcPr>
            <w:tcW w:w="4080" w:type="dxa"/>
            <w:vAlign w:val="bottom"/>
          </w:tcPr>
          <w:p>
            <w:pPr>
              <w:spacing w:after="0"/>
              <w:rPr>
                <w:sz w:val="20"/>
                <w:szCs w:val="20"/>
                <w:color w:val="auto"/>
              </w:rPr>
            </w:pPr>
            <w:r>
              <w:rPr>
                <w:rFonts w:ascii="Arial" w:cs="Arial" w:eastAsia="Arial" w:hAnsi="Arial"/>
                <w:sz w:val="14"/>
                <w:szCs w:val="14"/>
                <w:color w:val="auto"/>
              </w:rPr>
              <w:t>Volatility</w:t>
            </w:r>
          </w:p>
        </w:tc>
        <w:tc>
          <w:tcPr>
            <w:tcW w:w="1560" w:type="dxa"/>
            <w:vAlign w:val="bottom"/>
          </w:tcPr>
          <w:p>
            <w:pPr>
              <w:jc w:val="right"/>
              <w:spacing w:after="0"/>
              <w:rPr>
                <w:sz w:val="20"/>
                <w:szCs w:val="20"/>
                <w:color w:val="auto"/>
              </w:rPr>
            </w:pPr>
            <w:r>
              <w:rPr>
                <w:rFonts w:ascii="Arial" w:cs="Arial" w:eastAsia="Arial" w:hAnsi="Arial"/>
                <w:sz w:val="14"/>
                <w:szCs w:val="14"/>
                <w:color w:val="auto"/>
              </w:rPr>
              <w:t>80%</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80%</w:t>
            </w:r>
          </w:p>
        </w:tc>
      </w:tr>
      <w:tr>
        <w:trPr>
          <w:trHeight w:val="161"/>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Risk-free interest rate</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w:t>
            </w:r>
          </w:p>
        </w:tc>
      </w:tr>
      <w:tr>
        <w:trPr>
          <w:trHeight w:val="190"/>
        </w:trPr>
        <w:tc>
          <w:tcPr>
            <w:tcW w:w="4080" w:type="dxa"/>
            <w:vAlign w:val="bottom"/>
          </w:tcPr>
          <w:p>
            <w:pPr>
              <w:spacing w:after="0"/>
              <w:rPr>
                <w:sz w:val="20"/>
                <w:szCs w:val="20"/>
                <w:color w:val="auto"/>
              </w:rPr>
            </w:pPr>
            <w:r>
              <w:rPr>
                <w:rFonts w:ascii="Arial" w:cs="Arial" w:eastAsia="Arial" w:hAnsi="Arial"/>
                <w:sz w:val="14"/>
                <w:szCs w:val="14"/>
                <w:color w:val="auto"/>
              </w:rPr>
              <w:t>Annual dividend rate</w:t>
            </w:r>
          </w:p>
        </w:tc>
        <w:tc>
          <w:tcPr>
            <w:tcW w:w="1560" w:type="dxa"/>
            <w:vAlign w:val="bottom"/>
          </w:tcPr>
          <w:p>
            <w:pPr>
              <w:jc w:val="right"/>
              <w:spacing w:after="0"/>
              <w:rPr>
                <w:sz w:val="20"/>
                <w:szCs w:val="20"/>
                <w:color w:val="auto"/>
              </w:rPr>
            </w:pPr>
            <w:r>
              <w:rPr>
                <w:rFonts w:ascii="Arial" w:cs="Arial" w:eastAsia="Arial" w:hAnsi="Arial"/>
                <w:sz w:val="14"/>
                <w:szCs w:val="14"/>
                <w:color w:val="auto"/>
              </w:rPr>
              <w:t>0%</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0%</w:t>
            </w:r>
          </w:p>
        </w:tc>
      </w:tr>
    </w:tbl>
    <w:p>
      <w:pPr>
        <w:spacing w:after="0" w:line="118"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following table presents a roll-forward of the aggregate fair values of the Company’s liabilities for which fair value is determined by Level 3 inputs:</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5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Balance as of January 1, 2025</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b w:val="1"/>
                <w:bCs w:val="1"/>
                <w:color w:val="auto"/>
              </w:rPr>
              <w:t>Warrant Liability</w:t>
            </w:r>
          </w:p>
        </w:tc>
        <w:tc>
          <w:tcPr>
            <w:tcW w:w="140" w:type="dxa"/>
            <w:vAlign w:val="bottom"/>
          </w:tcPr>
          <w:p>
            <w:pPr>
              <w:spacing w:after="0"/>
              <w:rPr>
                <w:sz w:val="15"/>
                <w:szCs w:val="15"/>
                <w:color w:val="auto"/>
              </w:rPr>
            </w:pPr>
          </w:p>
        </w:tc>
        <w:tc>
          <w:tcPr>
            <w:tcW w:w="244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Contingent Consideration</w:t>
            </w:r>
          </w:p>
        </w:tc>
        <w:tc>
          <w:tcPr>
            <w:tcW w:w="0" w:type="dxa"/>
            <w:vAlign w:val="bottom"/>
          </w:tcPr>
          <w:p>
            <w:pPr>
              <w:spacing w:after="0"/>
              <w:rPr>
                <w:sz w:val="1"/>
                <w:szCs w:val="1"/>
                <w:color w:val="auto"/>
              </w:rPr>
            </w:pPr>
          </w:p>
        </w:tc>
      </w:tr>
      <w:tr>
        <w:trPr>
          <w:trHeight w:val="152"/>
        </w:trPr>
        <w:tc>
          <w:tcPr>
            <w:tcW w:w="350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3"/>
                <w:szCs w:val="13"/>
                <w:color w:val="auto"/>
              </w:rPr>
            </w:pPr>
          </w:p>
        </w:tc>
        <w:tc>
          <w:tcPr>
            <w:tcW w:w="740" w:type="dxa"/>
            <w:vAlign w:val="bottom"/>
            <w:tcBorders>
              <w:top w:val="single" w:sz="8" w:color="auto"/>
            </w:tcBorders>
          </w:tcPr>
          <w:p>
            <w:pPr>
              <w:jc w:val="right"/>
              <w:ind w:right="588"/>
              <w:spacing w:after="0" w:line="15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10,179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Change in fair value</w:t>
            </w:r>
          </w:p>
        </w:tc>
        <w:tc>
          <w:tcPr>
            <w:tcW w:w="1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4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2980" w:type="dxa"/>
            <w:vAlign w:val="bottom"/>
          </w:tcPr>
          <w:p>
            <w:pPr>
              <w:spacing w:after="0" w:line="152" w:lineRule="exact"/>
              <w:rPr>
                <w:sz w:val="20"/>
                <w:szCs w:val="20"/>
                <w:color w:val="auto"/>
              </w:rPr>
            </w:pPr>
            <w:r>
              <w:rPr>
                <w:rFonts w:ascii="Arial" w:cs="Arial" w:eastAsia="Arial" w:hAnsi="Arial"/>
                <w:sz w:val="14"/>
                <w:szCs w:val="14"/>
                <w:b w:val="1"/>
                <w:bCs w:val="1"/>
                <w:color w:val="auto"/>
              </w:rPr>
              <w:t>Balance as of December 31, 2025</w:t>
            </w:r>
          </w:p>
        </w:tc>
        <w:tc>
          <w:tcPr>
            <w:tcW w:w="1200" w:type="dxa"/>
            <w:vAlign w:val="bottom"/>
          </w:tcPr>
          <w:p>
            <w:pPr>
              <w:spacing w:after="0"/>
              <w:rPr>
                <w:sz w:val="13"/>
                <w:szCs w:val="13"/>
                <w:color w:val="auto"/>
              </w:rPr>
            </w:pPr>
          </w:p>
        </w:tc>
        <w:tc>
          <w:tcPr>
            <w:tcW w:w="120" w:type="dxa"/>
            <w:vAlign w:val="bottom"/>
          </w:tcPr>
          <w:p>
            <w:pPr>
              <w:jc w:val="right"/>
              <w:spacing w:after="0" w:line="152"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line="152"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ind w:right="588"/>
              <w:spacing w:after="0" w:line="152"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line="152" w:lineRule="exact"/>
              <w:rPr>
                <w:sz w:val="20"/>
                <w:szCs w:val="20"/>
                <w:color w:val="auto"/>
              </w:rPr>
            </w:pPr>
            <w:r>
              <w:rPr>
                <w:rFonts w:ascii="Arial" w:cs="Arial" w:eastAsia="Arial" w:hAnsi="Arial"/>
                <w:sz w:val="14"/>
                <w:szCs w:val="14"/>
                <w:color w:val="auto"/>
              </w:rPr>
              <w:t>6,132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4"/>
                <w:szCs w:val="14"/>
                <w:color w:val="auto"/>
              </w:rPr>
              <w:t>F-22</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5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-790575</wp:posOffset>
            </wp:positionV>
            <wp:extent cx="8890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4" w:name="page255"/>
    <w:bookmarkEnd w:id="25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Warrant Liability</w:t>
            </w:r>
          </w:p>
        </w:tc>
        <w:tc>
          <w:tcPr>
            <w:tcW w:w="140" w:type="dxa"/>
            <w:vAlign w:val="bottom"/>
          </w:tcPr>
          <w:p>
            <w:pPr>
              <w:spacing w:after="0"/>
              <w:rPr>
                <w:sz w:val="15"/>
                <w:szCs w:val="15"/>
                <w:color w:val="auto"/>
              </w:rPr>
            </w:pPr>
          </w:p>
        </w:tc>
        <w:tc>
          <w:tcPr>
            <w:tcW w:w="19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Contingent Consideration</w:t>
            </w:r>
          </w:p>
        </w:tc>
      </w:tr>
      <w:tr>
        <w:trPr>
          <w:trHeight w:val="152"/>
        </w:trPr>
        <w:tc>
          <w:tcPr>
            <w:tcW w:w="3200" w:type="dxa"/>
            <w:vAlign w:val="bottom"/>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Balance as of January 1, 2024</w:t>
            </w:r>
          </w:p>
        </w:tc>
        <w:tc>
          <w:tcPr>
            <w:tcW w:w="108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33</w:t>
            </w:r>
          </w:p>
        </w:tc>
        <w:tc>
          <w:tcPr>
            <w:tcW w:w="880" w:type="dxa"/>
            <w:vAlign w:val="bottom"/>
            <w:gridSpan w:val="2"/>
            <w:shd w:val="clear" w:color="auto" w:fill="CFF0FC"/>
          </w:tcPr>
          <w:p>
            <w:pPr>
              <w:jc w:val="right"/>
              <w:ind w:right="588"/>
              <w:spacing w:after="0" w:line="152"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8,381</w:t>
            </w:r>
          </w:p>
        </w:tc>
      </w:tr>
      <w:tr>
        <w:trPr>
          <w:trHeight w:val="161"/>
        </w:trPr>
        <w:tc>
          <w:tcPr>
            <w:tcW w:w="3200" w:type="dxa"/>
            <w:vAlign w:val="bottom"/>
          </w:tcPr>
          <w:p>
            <w:pPr>
              <w:spacing w:after="0"/>
              <w:rPr>
                <w:sz w:val="20"/>
                <w:szCs w:val="20"/>
                <w:color w:val="auto"/>
              </w:rPr>
            </w:pPr>
            <w:r>
              <w:rPr>
                <w:rFonts w:ascii="Arial" w:cs="Arial" w:eastAsia="Arial" w:hAnsi="Arial"/>
                <w:sz w:val="14"/>
                <w:szCs w:val="14"/>
                <w:color w:val="auto"/>
              </w:rPr>
              <w:t>Change in fair value</w:t>
            </w: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1,798</w:t>
            </w:r>
          </w:p>
        </w:tc>
      </w:tr>
      <w:tr>
        <w:trPr>
          <w:trHeight w:val="192"/>
        </w:trPr>
        <w:tc>
          <w:tcPr>
            <w:tcW w:w="3200" w:type="dxa"/>
            <w:vAlign w:val="bottom"/>
            <w:tcBorders>
              <w:bottom w:val="single" w:sz="8" w:color="CFF0FC"/>
            </w:tcBorders>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Balance as of December 31, 2024</w:t>
            </w: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45</w:t>
            </w:r>
          </w:p>
        </w:tc>
        <w:tc>
          <w:tcPr>
            <w:tcW w:w="1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588"/>
              <w:spacing w:after="0" w:line="152"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10,179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-19685</wp:posOffset>
            </wp:positionV>
            <wp:extent cx="8890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-6350</wp:posOffset>
            </wp:positionV>
            <wp:extent cx="8890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26" w:lineRule="exact"/>
        <w:rPr>
          <w:sz w:val="20"/>
          <w:szCs w:val="20"/>
          <w:color w:val="auto"/>
        </w:rPr>
      </w:pPr>
    </w:p>
    <w:p>
      <w:pPr>
        <w:ind w:left="1160" w:hanging="522"/>
        <w:spacing w:after="0"/>
        <w:tabs>
          <w:tab w:leader="none" w:pos="1160"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Cash, Cash Equivalents, Restricted Cash, and Marketable Securities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following table summarizes the Company’s cash and cash equivalents, and restricted cash:</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Cash and cash equivalents</w:t>
      </w:r>
    </w:p>
    <w:p>
      <w:pPr>
        <w:spacing w:after="0" w:line="14" w:lineRule="exact"/>
        <w:rPr>
          <w:sz w:val="20"/>
          <w:szCs w:val="20"/>
          <w:color w:val="auto"/>
        </w:rPr>
      </w:pPr>
    </w:p>
    <w:p>
      <w:pPr>
        <w:jc w:val="both"/>
        <w:ind w:left="640"/>
        <w:spacing w:after="0" w:line="258" w:lineRule="auto"/>
        <w:rPr>
          <w:sz w:val="20"/>
          <w:szCs w:val="20"/>
          <w:color w:val="auto"/>
        </w:rPr>
      </w:pPr>
      <w:r>
        <w:rPr>
          <w:rFonts w:ascii="Arial" w:cs="Arial" w:eastAsia="Arial" w:hAnsi="Arial"/>
          <w:sz w:val="14"/>
          <w:szCs w:val="14"/>
          <w:color w:val="auto"/>
        </w:rPr>
        <w:t>Restricted cash included in other non-current assets Total cash, cash equivalents and restricted cash per the consolidated statements of cash flows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rPr>
              <w:t>Year Ended December 31,</w:t>
            </w:r>
          </w:p>
        </w:tc>
      </w:tr>
      <w:tr>
        <w:trPr>
          <w:trHeight w:val="176"/>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112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Beginning of</w:t>
            </w:r>
          </w:p>
        </w:tc>
        <w:tc>
          <w:tcPr>
            <w:tcW w:w="100" w:type="dxa"/>
            <w:vAlign w:val="bottom"/>
          </w:tcPr>
          <w:p>
            <w:pPr>
              <w:spacing w:after="0"/>
              <w:rPr>
                <w:sz w:val="11"/>
                <w:szCs w:val="11"/>
                <w:color w:val="auto"/>
              </w:rPr>
            </w:pPr>
          </w:p>
        </w:tc>
        <w:tc>
          <w:tcPr>
            <w:tcW w:w="700" w:type="dxa"/>
            <w:vAlign w:val="bottom"/>
          </w:tcPr>
          <w:p>
            <w:pPr>
              <w:jc w:val="right"/>
              <w:ind w:right="168"/>
              <w:spacing w:after="0" w:line="137" w:lineRule="exact"/>
              <w:rPr>
                <w:sz w:val="20"/>
                <w:szCs w:val="20"/>
                <w:color w:val="auto"/>
              </w:rPr>
            </w:pPr>
            <w:r>
              <w:rPr>
                <w:rFonts w:ascii="Arial" w:cs="Arial" w:eastAsia="Arial" w:hAnsi="Arial"/>
                <w:sz w:val="14"/>
                <w:szCs w:val="14"/>
                <w:b w:val="1"/>
                <w:bCs w:val="1"/>
                <w:color w:val="auto"/>
              </w:rPr>
              <w:t>End of</w:t>
            </w:r>
          </w:p>
        </w:tc>
        <w:tc>
          <w:tcPr>
            <w:tcW w:w="80" w:type="dxa"/>
            <w:vAlign w:val="bottom"/>
          </w:tcPr>
          <w:p>
            <w:pPr>
              <w:spacing w:after="0"/>
              <w:rPr>
                <w:sz w:val="11"/>
                <w:szCs w:val="11"/>
                <w:color w:val="auto"/>
              </w:rPr>
            </w:pPr>
          </w:p>
        </w:tc>
        <w:tc>
          <w:tcPr>
            <w:tcW w:w="1040" w:type="dxa"/>
            <w:vAlign w:val="bottom"/>
            <w:gridSpan w:val="2"/>
          </w:tcPr>
          <w:p>
            <w:pPr>
              <w:jc w:val="right"/>
              <w:ind w:right="88"/>
              <w:spacing w:after="0" w:line="137" w:lineRule="exact"/>
              <w:rPr>
                <w:sz w:val="20"/>
                <w:szCs w:val="20"/>
                <w:color w:val="auto"/>
              </w:rPr>
            </w:pPr>
            <w:r>
              <w:rPr>
                <w:rFonts w:ascii="Arial" w:cs="Arial" w:eastAsia="Arial" w:hAnsi="Arial"/>
                <w:sz w:val="14"/>
                <w:szCs w:val="14"/>
                <w:b w:val="1"/>
                <w:bCs w:val="1"/>
                <w:color w:val="auto"/>
              </w:rPr>
              <w:t>Beginning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b w:val="1"/>
                <w:bCs w:val="1"/>
                <w:color w:val="auto"/>
              </w:rPr>
              <w:t>period</w:t>
            </w:r>
          </w:p>
        </w:tc>
        <w:tc>
          <w:tcPr>
            <w:tcW w:w="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End of period</w:t>
            </w:r>
          </w:p>
        </w:tc>
      </w:tr>
      <w:tr>
        <w:trPr>
          <w:trHeight w:val="137"/>
        </w:trPr>
        <w:tc>
          <w:tcPr>
            <w:tcW w:w="20" w:type="dxa"/>
            <w:vAlign w:val="bottom"/>
          </w:tcPr>
          <w:p>
            <w:pPr>
              <w:spacing w:after="0"/>
              <w:rPr>
                <w:sz w:val="11"/>
                <w:szCs w:val="11"/>
                <w:color w:val="auto"/>
              </w:rPr>
            </w:pPr>
          </w:p>
        </w:tc>
        <w:tc>
          <w:tcPr>
            <w:tcW w:w="160" w:type="dxa"/>
            <w:vAlign w:val="bottom"/>
            <w:tcBorders>
              <w:top w:val="single" w:sz="8" w:color="auto"/>
            </w:tcBorders>
          </w:tcPr>
          <w:p>
            <w:pPr>
              <w:jc w:val="right"/>
              <w:ind w:right="35"/>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ind w:right="8"/>
              <w:spacing w:after="0" w:line="137" w:lineRule="exact"/>
              <w:rPr>
                <w:sz w:val="20"/>
                <w:szCs w:val="20"/>
                <w:color w:val="auto"/>
              </w:rPr>
            </w:pPr>
            <w:r>
              <w:rPr>
                <w:rFonts w:ascii="Arial" w:cs="Arial" w:eastAsia="Arial" w:hAnsi="Arial"/>
                <w:sz w:val="14"/>
                <w:szCs w:val="14"/>
                <w:color w:val="auto"/>
              </w:rPr>
              <w:t>59,136</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8"/>
              <w:spacing w:after="0" w:line="137" w:lineRule="exact"/>
              <w:rPr>
                <w:sz w:val="20"/>
                <w:szCs w:val="20"/>
                <w:color w:val="auto"/>
              </w:rPr>
            </w:pPr>
            <w:r>
              <w:rPr>
                <w:rFonts w:ascii="Arial" w:cs="Arial" w:eastAsia="Arial" w:hAnsi="Arial"/>
                <w:sz w:val="14"/>
                <w:szCs w:val="14"/>
                <w:color w:val="auto"/>
              </w:rPr>
              <w:t>41,687</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rPr>
              <w:t>52,545</w:t>
            </w: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rPr>
              <w:t>59,136</w:t>
            </w:r>
          </w:p>
        </w:tc>
      </w:tr>
      <w:tr>
        <w:trPr>
          <w:trHeight w:val="176"/>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3,210</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3,210</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3,459</w:t>
            </w: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3,210</w:t>
            </w:r>
          </w:p>
        </w:tc>
      </w:tr>
      <w:tr>
        <w:trPr>
          <w:trHeight w:val="281"/>
        </w:trPr>
        <w:tc>
          <w:tcPr>
            <w:tcW w:w="180" w:type="dxa"/>
            <w:vAlign w:val="bottom"/>
            <w:gridSpan w:val="2"/>
          </w:tcPr>
          <w:p>
            <w:pPr>
              <w:jc w:val="right"/>
              <w:ind w:right="35"/>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62,346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44,897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56,004</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62,346</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-415290</wp:posOffset>
            </wp:positionV>
            <wp:extent cx="4909820" cy="1022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09820" cy="102235"/>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-203835</wp:posOffset>
            </wp:positionV>
            <wp:extent cx="4909820" cy="2044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09820" cy="20447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3940" w:space="280"/>
            <w:col w:w="4799"/>
          </w:cols>
          <w:pgMar w:left="1440" w:top="123" w:right="1440" w:bottom="1440" w:gutter="0" w:footer="0" w:header="0"/>
          <w:type w:val="continuous"/>
        </w:sectPr>
      </w:pPr>
    </w:p>
    <w:p>
      <w:pPr>
        <w:jc w:val="both"/>
        <w:ind w:left="640" w:right="659"/>
        <w:spacing w:after="0" w:line="282" w:lineRule="auto"/>
        <w:rPr>
          <w:sz w:val="20"/>
          <w:szCs w:val="20"/>
          <w:color w:val="auto"/>
        </w:rPr>
      </w:pPr>
      <w:r>
        <w:rPr>
          <w:rFonts w:ascii="Arial" w:cs="Arial" w:eastAsia="Arial" w:hAnsi="Arial"/>
          <w:sz w:val="14"/>
          <w:szCs w:val="14"/>
          <w:color w:val="auto"/>
        </w:rPr>
        <w:t>The following tables summarize the Company’s marketable securities held as of December 31, 2025 and December 31, 2024.</w:t>
      </w:r>
    </w:p>
    <w:p>
      <w:pPr>
        <w:spacing w:after="0" w:line="105"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37"/>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28"/>
              <w:spacing w:after="0" w:line="137"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188"/>
              <w:spacing w:after="0" w:line="137"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8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9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3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Fair Value</w:t>
            </w:r>
          </w:p>
        </w:tc>
      </w:tr>
      <w:tr>
        <w:trPr>
          <w:trHeight w:val="152"/>
        </w:trPr>
        <w:tc>
          <w:tcPr>
            <w:tcW w:w="3880" w:type="dxa"/>
            <w:vAlign w:val="bottom"/>
            <w:gridSpan w:val="2"/>
            <w:shd w:val="clear" w:color="auto" w:fill="CFF0FC"/>
          </w:tcPr>
          <w:p>
            <w:pPr>
              <w:jc w:val="right"/>
              <w:ind w:right="2448"/>
              <w:spacing w:after="0" w:line="152" w:lineRule="exact"/>
              <w:rPr>
                <w:sz w:val="20"/>
                <w:szCs w:val="20"/>
                <w:color w:val="auto"/>
              </w:rPr>
            </w:pPr>
            <w:r>
              <w:rPr>
                <w:rFonts w:ascii="Arial" w:cs="Arial" w:eastAsia="Arial" w:hAnsi="Arial"/>
                <w:sz w:val="14"/>
                <w:szCs w:val="14"/>
                <w:color w:val="auto"/>
              </w:rPr>
              <w:t>Marketable securities</w:t>
            </w: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61"/>
        </w:trPr>
        <w:tc>
          <w:tcPr>
            <w:tcW w:w="3760" w:type="dxa"/>
            <w:vAlign w:val="bottom"/>
          </w:tcPr>
          <w:p>
            <w:pPr>
              <w:jc w:val="right"/>
              <w:ind w:right="728"/>
              <w:spacing w:after="0"/>
              <w:rPr>
                <w:sz w:val="20"/>
                <w:szCs w:val="20"/>
                <w:color w:val="auto"/>
              </w:rPr>
            </w:pPr>
            <w:r>
              <w:rPr>
                <w:rFonts w:ascii="Arial" w:cs="Arial" w:eastAsia="Arial" w:hAnsi="Arial"/>
                <w:sz w:val="14"/>
                <w:szCs w:val="14"/>
                <w:color w:val="auto"/>
              </w:rPr>
              <w:t>U.S. Treasury bills and U.S. Treasury notes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174,776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174,869</w:t>
            </w:r>
          </w:p>
        </w:tc>
      </w:tr>
      <w:tr>
        <w:trPr>
          <w:trHeight w:val="172"/>
        </w:trPr>
        <w:tc>
          <w:tcPr>
            <w:tcW w:w="37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174,776</w:t>
            </w:r>
          </w:p>
        </w:tc>
        <w:tc>
          <w:tcPr>
            <w:tcW w:w="18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93</w:t>
            </w:r>
          </w:p>
        </w:tc>
        <w:tc>
          <w:tcPr>
            <w:tcW w:w="22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174,869</w:t>
            </w: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r>
        <w:trPr>
          <w:trHeight w:val="327"/>
        </w:trPr>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37"/>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28"/>
              <w:spacing w:after="0" w:line="137"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188"/>
              <w:spacing w:after="0" w:line="137"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8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9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3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Fair Value</w:t>
            </w:r>
          </w:p>
        </w:tc>
      </w:tr>
      <w:tr>
        <w:trPr>
          <w:trHeight w:val="152"/>
        </w:trPr>
        <w:tc>
          <w:tcPr>
            <w:tcW w:w="3880" w:type="dxa"/>
            <w:vAlign w:val="bottom"/>
            <w:gridSpan w:val="2"/>
            <w:shd w:val="clear" w:color="auto" w:fill="CFF0FC"/>
          </w:tcPr>
          <w:p>
            <w:pPr>
              <w:jc w:val="right"/>
              <w:ind w:right="2448"/>
              <w:spacing w:after="0" w:line="152" w:lineRule="exact"/>
              <w:rPr>
                <w:sz w:val="20"/>
                <w:szCs w:val="20"/>
                <w:color w:val="auto"/>
              </w:rPr>
            </w:pPr>
            <w:r>
              <w:rPr>
                <w:rFonts w:ascii="Arial" w:cs="Arial" w:eastAsia="Arial" w:hAnsi="Arial"/>
                <w:sz w:val="14"/>
                <w:szCs w:val="14"/>
                <w:color w:val="auto"/>
              </w:rPr>
              <w:t>Marketable securities</w:t>
            </w: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61"/>
        </w:trPr>
        <w:tc>
          <w:tcPr>
            <w:tcW w:w="3760" w:type="dxa"/>
            <w:vAlign w:val="bottom"/>
          </w:tcPr>
          <w:p>
            <w:pPr>
              <w:jc w:val="right"/>
              <w:ind w:right="728"/>
              <w:spacing w:after="0"/>
              <w:rPr>
                <w:sz w:val="20"/>
                <w:szCs w:val="20"/>
                <w:color w:val="auto"/>
              </w:rPr>
            </w:pPr>
            <w:r>
              <w:rPr>
                <w:rFonts w:ascii="Arial" w:cs="Arial" w:eastAsia="Arial" w:hAnsi="Arial"/>
                <w:sz w:val="14"/>
                <w:szCs w:val="14"/>
                <w:color w:val="auto"/>
              </w:rPr>
              <w:t>U.S. Treasury bills and U.S. Treasury notes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70,186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70,218</w:t>
            </w:r>
          </w:p>
        </w:tc>
      </w:tr>
      <w:tr>
        <w:trPr>
          <w:trHeight w:val="172"/>
        </w:trPr>
        <w:tc>
          <w:tcPr>
            <w:tcW w:w="37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70,186</w:t>
            </w:r>
          </w:p>
        </w:tc>
        <w:tc>
          <w:tcPr>
            <w:tcW w:w="18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43</w:t>
            </w:r>
          </w:p>
        </w:tc>
        <w:tc>
          <w:tcPr>
            <w:tcW w:w="22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(11)</w:t>
            </w:r>
          </w:p>
        </w:tc>
        <w:tc>
          <w:tcPr>
            <w:tcW w:w="240" w:type="dxa"/>
            <w:vAlign w:val="bottom"/>
            <w:gridSpan w:val="2"/>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70,218</w:t>
            </w: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-899795</wp:posOffset>
            </wp:positionV>
            <wp:extent cx="5461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-885825</wp:posOffset>
            </wp:positionV>
            <wp:extent cx="5461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-899795</wp:posOffset>
            </wp:positionV>
            <wp:extent cx="5461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-885825</wp:posOffset>
            </wp:positionV>
            <wp:extent cx="5461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-899795</wp:posOffset>
            </wp:positionV>
            <wp:extent cx="5461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-885825</wp:posOffset>
            </wp:positionV>
            <wp:extent cx="5461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-19685</wp:posOffset>
            </wp:positionV>
            <wp:extent cx="5461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-6350</wp:posOffset>
            </wp:positionV>
            <wp:extent cx="5461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-19685</wp:posOffset>
            </wp:positionV>
            <wp:extent cx="5461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-6350</wp:posOffset>
            </wp:positionV>
            <wp:extent cx="5461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-19685</wp:posOffset>
            </wp:positionV>
            <wp:extent cx="5461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-6350</wp:posOffset>
            </wp:positionV>
            <wp:extent cx="5461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The Company determined that there was no material credit risk associated with the above investments as of December 31, 2025 and 2024. The Company has the intent and ability to hold such securities until recovery. As a result, the Company did not record any charges for credit-related impairments for its marketable securities during the years ended December 31, 2025 and 2024. No available-for-sale debt securities held as of December 31, 2025 had remaining maturities greater than 15 months.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55" w:name="page256"/>
    <w:bookmarkEnd w:id="25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hanging="522"/>
        <w:spacing w:after="0"/>
        <w:tabs>
          <w:tab w:leader="none" w:pos="1160"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Net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Property and equipment and related accumulated depreciation consist of the following:</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r>
      <w:tr>
        <w:trPr>
          <w:trHeight w:val="152"/>
        </w:trPr>
        <w:tc>
          <w:tcPr>
            <w:tcW w:w="51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Laboratory equipment</w:t>
            </w:r>
          </w:p>
        </w:tc>
        <w:tc>
          <w:tcPr>
            <w:tcW w:w="1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18,651</w:t>
            </w:r>
          </w:p>
        </w:tc>
        <w:tc>
          <w:tcPr>
            <w:tcW w:w="22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20,836</w:t>
            </w:r>
          </w:p>
        </w:tc>
      </w:tr>
      <w:tr>
        <w:trPr>
          <w:trHeight w:val="161"/>
        </w:trPr>
        <w:tc>
          <w:tcPr>
            <w:tcW w:w="5100" w:type="dxa"/>
            <w:vAlign w:val="bottom"/>
          </w:tcPr>
          <w:p>
            <w:pPr>
              <w:spacing w:after="0"/>
              <w:rPr>
                <w:sz w:val="20"/>
                <w:szCs w:val="20"/>
                <w:color w:val="auto"/>
              </w:rPr>
            </w:pPr>
            <w:r>
              <w:rPr>
                <w:rFonts w:ascii="Arial" w:cs="Arial" w:eastAsia="Arial" w:hAnsi="Arial"/>
                <w:sz w:val="14"/>
                <w:szCs w:val="14"/>
                <w:color w:val="auto"/>
              </w:rPr>
              <w:t>Furniture, fixtures and equipment</w:t>
            </w:r>
          </w:p>
        </w:tc>
        <w:tc>
          <w:tcPr>
            <w:tcW w:w="10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667</w:t>
            </w:r>
          </w:p>
        </w:tc>
      </w:tr>
      <w:tr>
        <w:trPr>
          <w:trHeight w:val="161"/>
        </w:trPr>
        <w:tc>
          <w:tcPr>
            <w:tcW w:w="5100" w:type="dxa"/>
            <w:vAlign w:val="bottom"/>
            <w:shd w:val="clear" w:color="auto" w:fill="CFF0FC"/>
          </w:tcPr>
          <w:p>
            <w:pPr>
              <w:spacing w:after="0"/>
              <w:rPr>
                <w:sz w:val="20"/>
                <w:szCs w:val="20"/>
                <w:color w:val="auto"/>
              </w:rPr>
            </w:pPr>
            <w:r>
              <w:rPr>
                <w:rFonts w:ascii="Arial" w:cs="Arial" w:eastAsia="Arial" w:hAnsi="Arial"/>
                <w:sz w:val="14"/>
                <w:szCs w:val="14"/>
                <w:color w:val="auto"/>
              </w:rPr>
              <w:t>Computer hardware and software</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960</w:t>
            </w:r>
          </w:p>
        </w:tc>
      </w:tr>
      <w:tr>
        <w:trPr>
          <w:trHeight w:val="161"/>
        </w:trPr>
        <w:tc>
          <w:tcPr>
            <w:tcW w:w="5100" w:type="dxa"/>
            <w:vAlign w:val="bottom"/>
          </w:tcPr>
          <w:p>
            <w:pPr>
              <w:spacing w:after="0"/>
              <w:rPr>
                <w:sz w:val="20"/>
                <w:szCs w:val="20"/>
                <w:color w:val="auto"/>
              </w:rPr>
            </w:pPr>
            <w:r>
              <w:rPr>
                <w:rFonts w:ascii="Arial" w:cs="Arial" w:eastAsia="Arial" w:hAnsi="Arial"/>
                <w:sz w:val="14"/>
                <w:szCs w:val="14"/>
                <w:color w:val="auto"/>
              </w:rPr>
              <w:t>Finance lease</w:t>
            </w:r>
          </w:p>
        </w:tc>
        <w:tc>
          <w:tcPr>
            <w:tcW w:w="10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156</w:t>
            </w:r>
          </w:p>
        </w:tc>
      </w:tr>
      <w:tr>
        <w:trPr>
          <w:trHeight w:val="161"/>
        </w:trPr>
        <w:tc>
          <w:tcPr>
            <w:tcW w:w="5100" w:type="dxa"/>
            <w:vAlign w:val="bottom"/>
            <w:shd w:val="clear" w:color="auto" w:fill="CFF0FC"/>
          </w:tcPr>
          <w:p>
            <w:pPr>
              <w:spacing w:after="0"/>
              <w:rPr>
                <w:sz w:val="20"/>
                <w:szCs w:val="20"/>
                <w:color w:val="auto"/>
              </w:rPr>
            </w:pPr>
            <w:r>
              <w:rPr>
                <w:rFonts w:ascii="Arial" w:cs="Arial" w:eastAsia="Arial" w:hAnsi="Arial"/>
                <w:sz w:val="14"/>
                <w:szCs w:val="14"/>
                <w:color w:val="auto"/>
              </w:rPr>
              <w:t>Assets not yet placed in service</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602</w:t>
            </w:r>
          </w:p>
        </w:tc>
      </w:tr>
      <w:tr>
        <w:trPr>
          <w:trHeight w:val="161"/>
        </w:trPr>
        <w:tc>
          <w:tcPr>
            <w:tcW w:w="5100" w:type="dxa"/>
            <w:vAlign w:val="bottom"/>
          </w:tcPr>
          <w:p>
            <w:pPr>
              <w:spacing w:after="0"/>
              <w:rPr>
                <w:sz w:val="20"/>
                <w:szCs w:val="20"/>
                <w:color w:val="auto"/>
              </w:rPr>
            </w:pPr>
            <w:r>
              <w:rPr>
                <w:rFonts w:ascii="Arial" w:cs="Arial" w:eastAsia="Arial" w:hAnsi="Arial"/>
                <w:sz w:val="14"/>
                <w:szCs w:val="14"/>
                <w:color w:val="auto"/>
              </w:rPr>
              <w:t>Leasehold improvements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w:t>
            </w:r>
          </w:p>
        </w:tc>
      </w:tr>
      <w:tr>
        <w:trPr>
          <w:trHeight w:val="152"/>
        </w:trPr>
        <w:tc>
          <w:tcPr>
            <w:tcW w:w="5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21,369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23,527</w:t>
            </w:r>
          </w:p>
        </w:tc>
      </w:tr>
      <w:tr>
        <w:trPr>
          <w:trHeight w:val="161"/>
        </w:trPr>
        <w:tc>
          <w:tcPr>
            <w:tcW w:w="510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(11,424)</w:t>
            </w:r>
          </w:p>
        </w:tc>
      </w:tr>
      <w:tr>
        <w:trPr>
          <w:trHeight w:val="192"/>
        </w:trPr>
        <w:tc>
          <w:tcPr>
            <w:tcW w:w="5100" w:type="dxa"/>
            <w:vAlign w:val="bottom"/>
            <w:tcBorders>
              <w:bottom w:val="single" w:sz="8" w:color="CFF0FC"/>
            </w:tcBorders>
            <w:shd w:val="clear" w:color="auto" w:fill="CFF0FC"/>
          </w:tcPr>
          <w:p>
            <w:pPr>
              <w:spacing w:after="0" w:line="152"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7,209</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12,103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-19685</wp:posOffset>
            </wp:positionV>
            <wp:extent cx="7493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-6350</wp:posOffset>
            </wp:positionV>
            <wp:extent cx="7493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59"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Total depreciation expense for the years ended December 31, 2025 and 2024, was $4.4 million and $4.7 million, respectively. For the year ended December 31, 2025, the Company recognized losses on disposal of $1.4 million within research and development expenses on the consolidated statements of operations and comprehensive loss.</w:t>
      </w:r>
    </w:p>
    <w:p>
      <w:pPr>
        <w:spacing w:after="0" w:line="130" w:lineRule="exact"/>
        <w:rPr>
          <w:sz w:val="20"/>
          <w:szCs w:val="20"/>
          <w:color w:val="auto"/>
        </w:rPr>
      </w:pPr>
    </w:p>
    <w:p>
      <w:pPr>
        <w:ind w:left="1160" w:hanging="522"/>
        <w:spacing w:after="0"/>
        <w:tabs>
          <w:tab w:leader="none" w:pos="1160"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Accrued expenses and other current liabilities consist of the following:</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r>
      <w:tr>
        <w:trPr>
          <w:trHeight w:val="152"/>
        </w:trPr>
        <w:tc>
          <w:tcPr>
            <w:tcW w:w="5280" w:type="dxa"/>
            <w:vAlign w:val="bottom"/>
            <w:gridSpan w:val="2"/>
            <w:shd w:val="clear" w:color="auto" w:fill="CCECFF"/>
          </w:tcPr>
          <w:p>
            <w:pPr>
              <w:spacing w:after="0" w:line="152" w:lineRule="exact"/>
              <w:rPr>
                <w:sz w:val="20"/>
                <w:szCs w:val="20"/>
                <w:color w:val="auto"/>
              </w:rPr>
            </w:pPr>
            <w:r>
              <w:rPr>
                <w:rFonts w:ascii="Arial" w:cs="Arial" w:eastAsia="Arial" w:hAnsi="Arial"/>
                <w:sz w:val="14"/>
                <w:szCs w:val="14"/>
                <w:color w:val="auto"/>
              </w:rPr>
              <w:t>Employee compensation, benefits, and recruiting</w:t>
            </w:r>
          </w:p>
        </w:tc>
        <w:tc>
          <w:tcPr>
            <w:tcW w:w="240" w:type="dxa"/>
            <w:vAlign w:val="bottom"/>
            <w:shd w:val="clear" w:color="auto" w:fill="CCECFF"/>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ind w:right="8"/>
              <w:spacing w:after="0" w:line="152" w:lineRule="exact"/>
              <w:rPr>
                <w:sz w:val="20"/>
                <w:szCs w:val="20"/>
                <w:color w:val="auto"/>
              </w:rPr>
            </w:pPr>
            <w:r>
              <w:rPr>
                <w:rFonts w:ascii="Arial" w:cs="Arial" w:eastAsia="Arial" w:hAnsi="Arial"/>
                <w:sz w:val="14"/>
                <w:szCs w:val="14"/>
                <w:color w:val="auto"/>
              </w:rPr>
              <w:t>6,703</w:t>
            </w:r>
          </w:p>
        </w:tc>
        <w:tc>
          <w:tcPr>
            <w:tcW w:w="340" w:type="dxa"/>
            <w:vAlign w:val="bottom"/>
            <w:gridSpan w:val="2"/>
            <w:shd w:val="clear" w:color="auto" w:fill="CCECFF"/>
          </w:tcPr>
          <w:p>
            <w:pPr>
              <w:jc w:val="right"/>
              <w:ind w:right="68"/>
              <w:spacing w:after="0" w:line="152" w:lineRule="exact"/>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ind w:right="28"/>
              <w:spacing w:after="0" w:line="152" w:lineRule="exact"/>
              <w:rPr>
                <w:sz w:val="20"/>
                <w:szCs w:val="20"/>
                <w:color w:val="auto"/>
              </w:rPr>
            </w:pPr>
            <w:r>
              <w:rPr>
                <w:rFonts w:ascii="Arial" w:cs="Arial" w:eastAsia="Arial" w:hAnsi="Arial"/>
                <w:sz w:val="14"/>
                <w:szCs w:val="14"/>
                <w:color w:val="auto"/>
              </w:rPr>
              <w:t>6,174</w:t>
            </w: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External research and supplies</w:t>
            </w:r>
          </w:p>
        </w:tc>
        <w:tc>
          <w:tcPr>
            <w:tcW w:w="2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3,076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1,978</w:t>
            </w:r>
          </w:p>
        </w:tc>
      </w:tr>
      <w:tr>
        <w:trPr>
          <w:trHeight w:val="161"/>
        </w:trPr>
        <w:tc>
          <w:tcPr>
            <w:tcW w:w="5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Deferred offering costs</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3,891</w:t>
            </w: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Professional fees</w:t>
            </w:r>
          </w:p>
        </w:tc>
        <w:tc>
          <w:tcPr>
            <w:tcW w:w="2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3,175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1,847</w:t>
            </w:r>
          </w:p>
        </w:tc>
      </w:tr>
      <w:tr>
        <w:trPr>
          <w:trHeight w:val="161"/>
        </w:trPr>
        <w:tc>
          <w:tcPr>
            <w:tcW w:w="5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2,877</w:t>
            </w:r>
          </w:p>
        </w:tc>
      </w:tr>
      <w:tr>
        <w:trPr>
          <w:trHeight w:val="161"/>
        </w:trPr>
        <w:tc>
          <w:tcPr>
            <w:tcW w:w="440" w:type="dxa"/>
            <w:vAlign w:val="bottom"/>
          </w:tcPr>
          <w:p>
            <w:pPr>
              <w:spacing w:after="0"/>
              <w:rPr>
                <w:sz w:val="20"/>
                <w:szCs w:val="20"/>
                <w:color w:val="auto"/>
              </w:rPr>
            </w:pPr>
            <w:r>
              <w:rPr>
                <w:rFonts w:ascii="Arial" w:cs="Arial" w:eastAsia="Arial" w:hAnsi="Arial"/>
                <w:sz w:val="14"/>
                <w:szCs w:val="14"/>
                <w:color w:val="auto"/>
              </w:rPr>
              <w:t>Other</w:t>
            </w:r>
          </w:p>
        </w:tc>
        <w:tc>
          <w:tcPr>
            <w:tcW w:w="4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r>
      <w:tr>
        <w:trPr>
          <w:trHeight w:val="192"/>
        </w:trPr>
        <w:tc>
          <w:tcPr>
            <w:tcW w:w="440" w:type="dxa"/>
            <w:vAlign w:val="bottom"/>
            <w:shd w:val="clear" w:color="auto" w:fill="CCECFF"/>
          </w:tcPr>
          <w:p>
            <w:pPr>
              <w:spacing w:after="0" w:line="152" w:lineRule="exact"/>
              <w:rPr>
                <w:sz w:val="20"/>
                <w:szCs w:val="20"/>
                <w:color w:val="auto"/>
              </w:rPr>
            </w:pPr>
            <w:r>
              <w:rPr>
                <w:rFonts w:ascii="Arial" w:cs="Arial" w:eastAsia="Arial" w:hAnsi="Arial"/>
                <w:sz w:val="14"/>
                <w:szCs w:val="14"/>
                <w:color w:val="auto"/>
              </w:rPr>
              <w:t>Total</w:t>
            </w:r>
          </w:p>
        </w:tc>
        <w:tc>
          <w:tcPr>
            <w:tcW w:w="484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ind w:right="8"/>
              <w:spacing w:after="0" w:line="152" w:lineRule="exact"/>
              <w:rPr>
                <w:sz w:val="20"/>
                <w:szCs w:val="20"/>
                <w:color w:val="auto"/>
              </w:rPr>
            </w:pPr>
            <w:r>
              <w:rPr>
                <w:rFonts w:ascii="Arial" w:cs="Arial" w:eastAsia="Arial" w:hAnsi="Arial"/>
                <w:sz w:val="14"/>
                <w:szCs w:val="14"/>
                <w:color w:val="auto"/>
              </w:rPr>
              <w:t>13,392</w:t>
            </w:r>
          </w:p>
        </w:tc>
        <w:tc>
          <w:tcPr>
            <w:tcW w:w="340" w:type="dxa"/>
            <w:vAlign w:val="bottom"/>
            <w:gridSpan w:val="2"/>
            <w:shd w:val="clear" w:color="auto" w:fill="CCECFF"/>
          </w:tcPr>
          <w:p>
            <w:pPr>
              <w:jc w:val="right"/>
              <w:ind w:right="68"/>
              <w:spacing w:after="0" w:line="152" w:lineRule="exact"/>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ind w:right="28"/>
              <w:spacing w:after="0" w:line="152" w:lineRule="exact"/>
              <w:rPr>
                <w:sz w:val="20"/>
                <w:szCs w:val="20"/>
                <w:color w:val="auto"/>
              </w:rPr>
            </w:pPr>
            <w:r>
              <w:rPr>
                <w:rFonts w:ascii="Arial" w:cs="Arial" w:eastAsia="Arial" w:hAnsi="Arial"/>
                <w:sz w:val="14"/>
                <w:szCs w:val="14"/>
                <w:color w:val="auto"/>
              </w:rPr>
              <w:t>17,520</w:t>
            </w:r>
          </w:p>
        </w:tc>
      </w:tr>
      <w:tr>
        <w:trPr>
          <w:trHeight w:val="336"/>
        </w:trPr>
        <w:tc>
          <w:tcPr>
            <w:tcW w:w="440" w:type="dxa"/>
            <w:vAlign w:val="bottom"/>
            <w:tcBorders>
              <w:top w:val="single" w:sz="8" w:color="CCECFF"/>
            </w:tcBorders>
          </w:tcPr>
          <w:p>
            <w:pPr>
              <w:spacing w:after="0"/>
              <w:rPr>
                <w:sz w:val="20"/>
                <w:szCs w:val="20"/>
                <w:color w:val="auto"/>
              </w:rPr>
            </w:pPr>
            <w:r>
              <w:rPr>
                <w:rFonts w:ascii="Arial" w:cs="Arial" w:eastAsia="Arial" w:hAnsi="Arial"/>
                <w:sz w:val="14"/>
                <w:szCs w:val="14"/>
                <w:b w:val="1"/>
                <w:bCs w:val="1"/>
                <w:color w:val="auto"/>
              </w:rPr>
              <w:t>9.</w:t>
            </w:r>
          </w:p>
        </w:tc>
        <w:tc>
          <w:tcPr>
            <w:tcW w:w="4840" w:type="dxa"/>
            <w:vAlign w:val="bottom"/>
            <w:tcBorders>
              <w:top w:val="single" w:sz="8" w:color="CCECFF"/>
            </w:tcBorders>
          </w:tcPr>
          <w:p>
            <w:pPr>
              <w:ind w:left="80"/>
              <w:spacing w:after="0"/>
              <w:rPr>
                <w:sz w:val="20"/>
                <w:szCs w:val="20"/>
                <w:color w:val="auto"/>
              </w:rPr>
            </w:pPr>
            <w:r>
              <w:rPr>
                <w:rFonts w:ascii="Arial" w:cs="Arial" w:eastAsia="Arial" w:hAnsi="Arial"/>
                <w:sz w:val="14"/>
                <w:szCs w:val="14"/>
                <w:b w:val="1"/>
                <w:bCs w:val="1"/>
                <w:color w:val="auto"/>
              </w:rPr>
              <w:t>Leases</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-250825</wp:posOffset>
            </wp:positionV>
            <wp:extent cx="7493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-236855</wp:posOffset>
            </wp:positionV>
            <wp:extent cx="7493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17"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In September 2021, the Company entered into an eight-year lease agreement for 45,632 square feet of space for its corporate headquarters located in Boston, Massachusetts. The Company is also party to several leases for office and laboratory space in San Diego, California, Ann Arbor, Michigan, New York, New York, and Frankfurt, Germany, as well as leases for certain laboratory equipment.</w:t>
      </w:r>
    </w:p>
    <w:p>
      <w:pPr>
        <w:spacing w:after="0" w:line="135"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In August 2024, the Company entered into a lease extension agreement for its Frankfurt, Germany laboratory space for an additional two-year term. The Company accounted for the lease extension as a modification of the existing lease and remeasured the right-of-use (“ROU”) asset and lease liability by calculating the present value of lease payments, discounted at 7.4%, the Company’s incremental borrowing rate in August 2024, over the new lease term. The modification resulted in an increase in the ROU asset and lease liability of $0.5 million, recorded in the consolidated balance sheet as of December 31, 2024.</w:t>
      </w:r>
    </w:p>
    <w:p>
      <w:pPr>
        <w:spacing w:after="0" w:line="140"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During the first quarter of 2025, the Company recorded an impairment loss of $5.4 million pertaining to the right-of-use asset for the San Diego lease as a result of the Company's decision to permanently cease use of the leased space. The impairment loss was measured as the excess of the carrying amount over the impaired asset group's estimated fair value, which was determined using a discounted cash flow model. The impairment is included as a component of research and development expenses in the consolidated statements of operations and comprehensive loss.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6" w:name="page257"/>
    <w:bookmarkEnd w:id="25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In June 2025, the Company entered into a lease extension agreement for its Ann Arbor laboratory space for an additional one-year term. The Company accounted for the lease extension as a modification of the existing lease and remeasured the ROU asset and lease liability by calculating the present value of lease payments, discounted at 10.1%, the Company’s incremental borrowing rate in June 2025, over the new lease term. The modification resulted in an increase in the ROU asset and lease liability of $0.3 million, recorded in the consolidated balance sheet as of December 31, 2025.</w:t>
      </w:r>
    </w:p>
    <w:p>
      <w:pPr>
        <w:spacing w:after="0" w:line="139"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During the third quarter of 2025, the Company entered into a sublease for its New York office space. The sublease commenced on October 15, 2025 and expires on February 28, 2029. For the year ended December 31, 2025, the Company recognized $ 0.1 million of sublease income, which was recorded as a reduction of lease cost in the consolidated statements of operations and comprehensive loss.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right-of-use assets and lease liabilities are recorded within the consolidated balance sheets as follows:</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Consolidated Balance Sheet</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Classifications</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Assets:</w:t>
            </w:r>
          </w:p>
        </w:tc>
        <w:tc>
          <w:tcPr>
            <w:tcW w:w="2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Arial" w:cs="Arial" w:eastAsia="Arial" w:hAnsi="Arial"/>
                <w:sz w:val="14"/>
                <w:szCs w:val="14"/>
                <w:color w:val="auto"/>
              </w:rPr>
              <w:t>Right-of-use assets - operating</w:t>
            </w:r>
          </w:p>
        </w:tc>
        <w:tc>
          <w:tcPr>
            <w:tcW w:w="2800" w:type="dxa"/>
            <w:vAlign w:val="bottom"/>
          </w:tcPr>
          <w:p>
            <w:pPr>
              <w:ind w:left="60"/>
              <w:spacing w:after="0"/>
              <w:rPr>
                <w:sz w:val="20"/>
                <w:szCs w:val="20"/>
                <w:color w:val="auto"/>
              </w:rPr>
            </w:pPr>
            <w:r>
              <w:rPr>
                <w:rFonts w:ascii="Arial" w:cs="Arial" w:eastAsia="Arial" w:hAnsi="Arial"/>
                <w:sz w:val="14"/>
                <w:szCs w:val="14"/>
                <w:color w:val="auto"/>
              </w:rPr>
              <w:t>Right-of-use assets</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18,804</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27,367</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20" w:type="dxa"/>
            <w:vAlign w:val="bottom"/>
            <w:tcBorders>
              <w:bottom w:val="single" w:sz="8" w:color="CFF0FC"/>
            </w:tcBorders>
            <w:gridSpan w:val="2"/>
            <w:shd w:val="clear" w:color="auto" w:fill="CFF0FC"/>
          </w:tcPr>
          <w:p>
            <w:pPr>
              <w:ind w:left="180"/>
              <w:spacing w:after="0" w:line="161" w:lineRule="exact"/>
              <w:rPr>
                <w:sz w:val="20"/>
                <w:szCs w:val="20"/>
                <w:color w:val="auto"/>
              </w:rPr>
            </w:pPr>
            <w:r>
              <w:rPr>
                <w:rFonts w:ascii="Arial" w:cs="Arial" w:eastAsia="Arial" w:hAnsi="Arial"/>
                <w:sz w:val="14"/>
                <w:szCs w:val="14"/>
                <w:color w:val="auto"/>
              </w:rPr>
              <w:t xml:space="preserve">Right-of-use assets - financing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Property and equipment, net</w:t>
            </w:r>
          </w:p>
        </w:tc>
        <w:tc>
          <w:tcPr>
            <w:tcW w:w="5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240" w:type="dxa"/>
            <w:vAlign w:val="bottom"/>
            <w:gridSpan w:val="2"/>
          </w:tcPr>
          <w:p>
            <w:pPr>
              <w:spacing w:after="0" w:line="141" w:lineRule="exact"/>
              <w:rPr>
                <w:sz w:val="20"/>
                <w:szCs w:val="20"/>
                <w:color w:val="auto"/>
              </w:rPr>
            </w:pPr>
            <w:r>
              <w:rPr>
                <w:rFonts w:ascii="Arial" w:cs="Arial" w:eastAsia="Arial" w:hAnsi="Arial"/>
                <w:sz w:val="14"/>
                <w:szCs w:val="14"/>
                <w:color w:val="auto"/>
              </w:rPr>
              <w:t>Total Right-of-use assets</w:t>
            </w:r>
          </w:p>
        </w:tc>
        <w:tc>
          <w:tcPr>
            <w:tcW w:w="2800" w:type="dxa"/>
            <w:vAlign w:val="bottom"/>
          </w:tcPr>
          <w:p>
            <w:pPr>
              <w:spacing w:after="0"/>
              <w:rPr>
                <w:sz w:val="13"/>
                <w:szCs w:val="13"/>
                <w:color w:val="auto"/>
              </w:rPr>
            </w:pPr>
          </w:p>
        </w:tc>
        <w:tc>
          <w:tcPr>
            <w:tcW w:w="520" w:type="dxa"/>
            <w:vAlign w:val="bottom"/>
          </w:tcPr>
          <w:p>
            <w:pPr>
              <w:jc w:val="right"/>
              <w:ind w:right="368"/>
              <w:spacing w:after="0" w:line="141"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1" w:lineRule="exact"/>
              <w:rPr>
                <w:sz w:val="20"/>
                <w:szCs w:val="20"/>
                <w:color w:val="auto"/>
              </w:rPr>
            </w:pPr>
            <w:r>
              <w:rPr>
                <w:rFonts w:ascii="Arial" w:cs="Arial" w:eastAsia="Arial" w:hAnsi="Arial"/>
                <w:sz w:val="14"/>
                <w:szCs w:val="14"/>
                <w:color w:val="auto"/>
              </w:rPr>
              <w:t>19,306</w:t>
            </w:r>
          </w:p>
        </w:tc>
        <w:tc>
          <w:tcPr>
            <w:tcW w:w="400" w:type="dxa"/>
            <w:vAlign w:val="bottom"/>
            <w:gridSpan w:val="2"/>
          </w:tcPr>
          <w:p>
            <w:pPr>
              <w:jc w:val="right"/>
              <w:ind w:right="68"/>
              <w:spacing w:after="0" w:line="141"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27,523</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Liabilities:</w:t>
            </w:r>
          </w:p>
        </w:tc>
        <w:tc>
          <w:tcPr>
            <w:tcW w:w="2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Current:</w:t>
            </w:r>
          </w:p>
        </w:tc>
        <w:tc>
          <w:tcPr>
            <w:tcW w:w="2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Operating lease liabilities</w:t>
            </w:r>
          </w:p>
        </w:tc>
        <w:tc>
          <w:tcPr>
            <w:tcW w:w="2800" w:type="dxa"/>
            <w:vAlign w:val="bottom"/>
            <w:shd w:val="clear" w:color="auto" w:fill="CFF0FC"/>
          </w:tcPr>
          <w:p>
            <w:pPr>
              <w:ind w:left="60"/>
              <w:spacing w:after="0"/>
              <w:rPr>
                <w:sz w:val="20"/>
                <w:szCs w:val="20"/>
                <w:color w:val="auto"/>
              </w:rPr>
            </w:pPr>
            <w:r>
              <w:rPr>
                <w:rFonts w:ascii="Arial" w:cs="Arial" w:eastAsia="Arial" w:hAnsi="Arial"/>
                <w:sz w:val="14"/>
                <w:szCs w:val="14"/>
                <w:color w:val="auto"/>
              </w:rPr>
              <w:t>Lease liabilities - current</w:t>
            </w: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5,104</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4,451</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Arial" w:cs="Arial" w:eastAsia="Arial" w:hAnsi="Arial"/>
                <w:sz w:val="14"/>
                <w:szCs w:val="14"/>
                <w:color w:val="auto"/>
              </w:rPr>
              <w:t>Financing lease liabilities</w:t>
            </w:r>
          </w:p>
        </w:tc>
        <w:tc>
          <w:tcPr>
            <w:tcW w:w="2800" w:type="dxa"/>
            <w:vAlign w:val="bottom"/>
          </w:tcPr>
          <w:p>
            <w:pPr>
              <w:ind w:left="60"/>
              <w:spacing w:after="0"/>
              <w:rPr>
                <w:sz w:val="20"/>
                <w:szCs w:val="20"/>
                <w:color w:val="auto"/>
              </w:rPr>
            </w:pPr>
            <w:r>
              <w:rPr>
                <w:rFonts w:ascii="Arial" w:cs="Arial" w:eastAsia="Arial" w:hAnsi="Arial"/>
                <w:sz w:val="14"/>
                <w:szCs w:val="14"/>
                <w:color w:val="auto"/>
              </w:rPr>
              <w:t>Lease liabilities - current</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Total lease liabilities - current</w:t>
            </w:r>
          </w:p>
        </w:tc>
        <w:tc>
          <w:tcPr>
            <w:tcW w:w="28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68"/>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5,211</w:t>
            </w:r>
          </w:p>
        </w:tc>
        <w:tc>
          <w:tcPr>
            <w:tcW w:w="400" w:type="dxa"/>
            <w:vAlign w:val="bottom"/>
            <w:gridSpan w:val="2"/>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4,576</w:t>
            </w:r>
          </w:p>
        </w:tc>
        <w:tc>
          <w:tcPr>
            <w:tcW w:w="80" w:type="dxa"/>
            <w:vAlign w:val="bottom"/>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2220" w:type="dxa"/>
            <w:vAlign w:val="bottom"/>
            <w:tcBorders>
              <w:top w:val="single" w:sz="8" w:color="CFF0FC"/>
            </w:tcBorders>
          </w:tcPr>
          <w:p>
            <w:pPr>
              <w:spacing w:after="0" w:line="152" w:lineRule="exact"/>
              <w:rPr>
                <w:sz w:val="20"/>
                <w:szCs w:val="20"/>
                <w:color w:val="auto"/>
              </w:rPr>
            </w:pPr>
            <w:r>
              <w:rPr>
                <w:rFonts w:ascii="Arial" w:cs="Arial" w:eastAsia="Arial" w:hAnsi="Arial"/>
                <w:sz w:val="14"/>
                <w:szCs w:val="14"/>
                <w:color w:val="auto"/>
              </w:rPr>
              <w:t>Noncurrent:</w:t>
            </w:r>
          </w:p>
        </w:tc>
        <w:tc>
          <w:tcPr>
            <w:tcW w:w="280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2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Operating lease liabilities</w:t>
            </w:r>
          </w:p>
        </w:tc>
        <w:tc>
          <w:tcPr>
            <w:tcW w:w="2800" w:type="dxa"/>
            <w:vAlign w:val="bottom"/>
            <w:shd w:val="clear" w:color="auto" w:fill="CFF0FC"/>
          </w:tcPr>
          <w:p>
            <w:pPr>
              <w:ind w:left="60"/>
              <w:spacing w:after="0"/>
              <w:rPr>
                <w:sz w:val="20"/>
                <w:szCs w:val="20"/>
                <w:color w:val="auto"/>
              </w:rPr>
            </w:pPr>
            <w:r>
              <w:rPr>
                <w:rFonts w:ascii="Arial" w:cs="Arial" w:eastAsia="Arial" w:hAnsi="Arial"/>
                <w:sz w:val="14"/>
                <w:szCs w:val="14"/>
                <w:color w:val="auto"/>
              </w:rPr>
              <w:t>Lease liabilities - noncurrent</w:t>
            </w: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21,662</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26,430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Arial" w:cs="Arial" w:eastAsia="Arial" w:hAnsi="Arial"/>
                <w:sz w:val="14"/>
                <w:szCs w:val="14"/>
                <w:color w:val="auto"/>
              </w:rPr>
              <w:t>Financing lease liabilities</w:t>
            </w:r>
          </w:p>
        </w:tc>
        <w:tc>
          <w:tcPr>
            <w:tcW w:w="2800" w:type="dxa"/>
            <w:vAlign w:val="bottom"/>
          </w:tcPr>
          <w:p>
            <w:pPr>
              <w:ind w:left="60"/>
              <w:spacing w:after="0"/>
              <w:rPr>
                <w:sz w:val="20"/>
                <w:szCs w:val="20"/>
                <w:color w:val="auto"/>
              </w:rPr>
            </w:pPr>
            <w:r>
              <w:rPr>
                <w:rFonts w:ascii="Arial" w:cs="Arial" w:eastAsia="Arial" w:hAnsi="Arial"/>
                <w:sz w:val="14"/>
                <w:szCs w:val="14"/>
                <w:color w:val="auto"/>
              </w:rPr>
              <w:t>Lease liabilities - noncurrent</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Total lease liabilities - noncurrent</w:t>
            </w:r>
          </w:p>
        </w:tc>
        <w:tc>
          <w:tcPr>
            <w:tcW w:w="28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68"/>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21,900</w:t>
            </w:r>
          </w:p>
        </w:tc>
        <w:tc>
          <w:tcPr>
            <w:tcW w:w="400" w:type="dxa"/>
            <w:vAlign w:val="bottom"/>
            <w:gridSpan w:val="2"/>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26,430</w:t>
            </w:r>
          </w:p>
        </w:tc>
        <w:tc>
          <w:tcPr>
            <w:tcW w:w="80" w:type="dxa"/>
            <w:vAlign w:val="bottom"/>
            <w:shd w:val="clear" w:color="auto" w:fill="CFF0FC"/>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52"/>
        </w:trPr>
        <w:tc>
          <w:tcPr>
            <w:tcW w:w="2240" w:type="dxa"/>
            <w:vAlign w:val="bottom"/>
            <w:gridSpan w:val="2"/>
          </w:tcPr>
          <w:p>
            <w:pPr>
              <w:spacing w:after="0" w:line="141" w:lineRule="exact"/>
              <w:rPr>
                <w:sz w:val="20"/>
                <w:szCs w:val="20"/>
                <w:color w:val="auto"/>
              </w:rPr>
            </w:pPr>
            <w:r>
              <w:rPr>
                <w:rFonts w:ascii="Arial" w:cs="Arial" w:eastAsia="Arial" w:hAnsi="Arial"/>
                <w:sz w:val="14"/>
                <w:szCs w:val="14"/>
                <w:color w:val="auto"/>
              </w:rPr>
              <w:t>Total lease liabilities</w:t>
            </w:r>
          </w:p>
        </w:tc>
        <w:tc>
          <w:tcPr>
            <w:tcW w:w="2800" w:type="dxa"/>
            <w:vAlign w:val="bottom"/>
          </w:tcPr>
          <w:p>
            <w:pPr>
              <w:spacing w:after="0"/>
              <w:rPr>
                <w:sz w:val="13"/>
                <w:szCs w:val="13"/>
                <w:color w:val="auto"/>
              </w:rPr>
            </w:pPr>
          </w:p>
        </w:tc>
        <w:tc>
          <w:tcPr>
            <w:tcW w:w="520" w:type="dxa"/>
            <w:vAlign w:val="bottom"/>
          </w:tcPr>
          <w:p>
            <w:pPr>
              <w:jc w:val="right"/>
              <w:ind w:right="368"/>
              <w:spacing w:after="0" w:line="141"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1" w:lineRule="exact"/>
              <w:rPr>
                <w:sz w:val="20"/>
                <w:szCs w:val="20"/>
                <w:color w:val="auto"/>
              </w:rPr>
            </w:pPr>
            <w:r>
              <w:rPr>
                <w:rFonts w:ascii="Arial" w:cs="Arial" w:eastAsia="Arial" w:hAnsi="Arial"/>
                <w:sz w:val="14"/>
                <w:szCs w:val="14"/>
                <w:color w:val="auto"/>
              </w:rPr>
              <w:t>27,111</w:t>
            </w:r>
          </w:p>
        </w:tc>
        <w:tc>
          <w:tcPr>
            <w:tcW w:w="400" w:type="dxa"/>
            <w:vAlign w:val="bottom"/>
            <w:gridSpan w:val="2"/>
          </w:tcPr>
          <w:p>
            <w:pPr>
              <w:jc w:val="right"/>
              <w:ind w:right="68"/>
              <w:spacing w:after="0" w:line="141"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31,006</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-1199515</wp:posOffset>
            </wp:positionV>
            <wp:extent cx="4762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-1199515</wp:posOffset>
            </wp:positionV>
            <wp:extent cx="4762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-551815</wp:posOffset>
            </wp:positionV>
            <wp:extent cx="4762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-551815</wp:posOffset>
            </wp:positionV>
            <wp:extent cx="4762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-128905</wp:posOffset>
            </wp:positionV>
            <wp:extent cx="4762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-128905</wp:posOffset>
            </wp:positionV>
            <wp:extent cx="4762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ind w:left="640" w:right="659" w:hanging="2"/>
        <w:spacing w:after="0" w:line="203" w:lineRule="auto"/>
        <w:tabs>
          <w:tab w:leader="none" w:pos="861" w:val="left"/>
        </w:tabs>
        <w:numPr>
          <w:ilvl w:val="0"/>
          <w:numId w:val="113"/>
        </w:numPr>
        <w:rPr>
          <w:rFonts w:ascii="Arial" w:cs="Arial" w:eastAsia="Arial" w:hAnsi="Arial"/>
          <w:sz w:val="23"/>
          <w:szCs w:val="23"/>
          <w:color w:val="auto"/>
          <w:vertAlign w:val="superscript"/>
        </w:rPr>
      </w:pPr>
      <w:r>
        <w:rPr>
          <w:rFonts w:ascii="Arial" w:cs="Arial" w:eastAsia="Arial" w:hAnsi="Arial"/>
          <w:sz w:val="14"/>
          <w:szCs w:val="14"/>
          <w:color w:val="auto"/>
        </w:rPr>
        <w:t>Finance lease right-of-use assets are recorded net of accumulated amortization of $0.2 and $0.4 million as of December 31, 2025 and 2024, respectively.</w:t>
      </w:r>
    </w:p>
    <w:p>
      <w:pPr>
        <w:spacing w:after="0" w:line="145" w:lineRule="exact"/>
        <w:rPr>
          <w:sz w:val="20"/>
          <w:szCs w:val="20"/>
          <w:color w:val="auto"/>
        </w:rPr>
      </w:pPr>
    </w:p>
    <w:p>
      <w:pPr>
        <w:ind w:left="640" w:right="659"/>
        <w:spacing w:after="0" w:line="282" w:lineRule="auto"/>
        <w:rPr>
          <w:sz w:val="20"/>
          <w:szCs w:val="20"/>
          <w:color w:val="auto"/>
        </w:rPr>
      </w:pPr>
      <w:r>
        <w:rPr>
          <w:rFonts w:ascii="Arial" w:cs="Arial" w:eastAsia="Arial" w:hAnsi="Arial"/>
          <w:sz w:val="14"/>
          <w:szCs w:val="14"/>
          <w:color w:val="auto"/>
        </w:rPr>
        <w:t>The components of lease costs are recorded within the consolidated statements of operations and comprehensive loss as follows:</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2"/>
        </w:trPr>
        <w:tc>
          <w:tcPr>
            <w:tcW w:w="39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88"/>
              <w:spacing w:after="0" w:line="152"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28"/>
              <w:spacing w:after="0" w:line="152"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2"/>
        </w:trPr>
        <w:tc>
          <w:tcPr>
            <w:tcW w:w="39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Operating lease costs</w:t>
            </w:r>
          </w:p>
        </w:tc>
        <w:tc>
          <w:tcPr>
            <w:tcW w:w="460" w:type="dxa"/>
            <w:vAlign w:val="bottom"/>
            <w:shd w:val="clear" w:color="auto" w:fill="CFF0FC"/>
          </w:tcPr>
          <w:p>
            <w:pPr>
              <w:jc w:val="right"/>
              <w:ind w:right="308"/>
              <w:spacing w:after="0" w:line="152" w:lineRule="exact"/>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6,357</w:t>
            </w:r>
          </w:p>
        </w:tc>
        <w:tc>
          <w:tcPr>
            <w:tcW w:w="780" w:type="dxa"/>
            <w:vAlign w:val="bottom"/>
            <w:gridSpan w:val="2"/>
            <w:shd w:val="clear" w:color="auto" w:fill="CFF0FC"/>
          </w:tcPr>
          <w:p>
            <w:pPr>
              <w:jc w:val="right"/>
              <w:ind w:right="408"/>
              <w:spacing w:after="0" w:line="152"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7,112</w:t>
            </w:r>
          </w:p>
        </w:tc>
        <w:tc>
          <w:tcPr>
            <w:tcW w:w="80" w:type="dxa"/>
            <w:vAlign w:val="bottom"/>
            <w:shd w:val="clear" w:color="auto" w:fill="CFF0FC"/>
          </w:tcPr>
          <w:p>
            <w:pPr>
              <w:spacing w:after="0"/>
              <w:rPr>
                <w:sz w:val="13"/>
                <w:szCs w:val="13"/>
                <w:color w:val="auto"/>
              </w:rPr>
            </w:pPr>
          </w:p>
        </w:tc>
      </w:tr>
      <w:tr>
        <w:trPr>
          <w:trHeight w:val="161"/>
        </w:trPr>
        <w:tc>
          <w:tcPr>
            <w:tcW w:w="3900" w:type="dxa"/>
            <w:vAlign w:val="bottom"/>
          </w:tcPr>
          <w:p>
            <w:pPr>
              <w:spacing w:after="0"/>
              <w:rPr>
                <w:sz w:val="20"/>
                <w:szCs w:val="20"/>
                <w:color w:val="auto"/>
              </w:rPr>
            </w:pPr>
            <w:r>
              <w:rPr>
                <w:rFonts w:ascii="Arial" w:cs="Arial" w:eastAsia="Arial" w:hAnsi="Arial"/>
                <w:sz w:val="14"/>
                <w:szCs w:val="14"/>
                <w:color w:val="auto"/>
              </w:rPr>
              <w:t>Variable lease costs</w:t>
            </w: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3,341</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3,362</w:t>
            </w:r>
          </w:p>
        </w:tc>
        <w:tc>
          <w:tcPr>
            <w:tcW w:w="80" w:type="dxa"/>
            <w:vAlign w:val="bottom"/>
          </w:tcPr>
          <w:p>
            <w:pPr>
              <w:spacing w:after="0"/>
              <w:rPr>
                <w:sz w:val="14"/>
                <w:szCs w:val="14"/>
                <w:color w:val="auto"/>
              </w:rPr>
            </w:pPr>
          </w:p>
        </w:tc>
      </w:tr>
      <w:tr>
        <w:trPr>
          <w:trHeight w:val="192"/>
        </w:trPr>
        <w:tc>
          <w:tcPr>
            <w:tcW w:w="390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4"/>
                <w:szCs w:val="14"/>
                <w:color w:val="auto"/>
              </w:rPr>
              <w:t>Total lease costs</w:t>
            </w:r>
          </w:p>
        </w:tc>
        <w:tc>
          <w:tcPr>
            <w:tcW w:w="460" w:type="dxa"/>
            <w:vAlign w:val="bottom"/>
            <w:tcBorders>
              <w:bottom w:val="single" w:sz="8" w:color="auto"/>
            </w:tcBorders>
            <w:shd w:val="clear" w:color="auto" w:fill="CFF0FC"/>
          </w:tcPr>
          <w:p>
            <w:pPr>
              <w:jc w:val="right"/>
              <w:ind w:right="308"/>
              <w:spacing w:after="0" w:line="141"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4"/>
                <w:szCs w:val="14"/>
                <w:color w:val="auto"/>
              </w:rPr>
              <w:t>9,698</w:t>
            </w:r>
          </w:p>
        </w:tc>
        <w:tc>
          <w:tcPr>
            <w:tcW w:w="2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08"/>
              <w:spacing w:after="0" w:line="141"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4"/>
                <w:szCs w:val="14"/>
                <w:color w:val="auto"/>
              </w:rPr>
              <w:t>10,474</w:t>
            </w:r>
          </w:p>
        </w:tc>
        <w:tc>
          <w:tcPr>
            <w:tcW w:w="8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4762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-6350</wp:posOffset>
            </wp:positionV>
            <wp:extent cx="4762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6" w:lineRule="exact"/>
        <w:rPr>
          <w:sz w:val="20"/>
          <w:szCs w:val="20"/>
          <w:color w:val="auto"/>
        </w:rPr>
      </w:pPr>
    </w:p>
    <w:p>
      <w:pPr>
        <w:ind w:left="640" w:right="659"/>
        <w:spacing w:after="0" w:line="261" w:lineRule="auto"/>
        <w:rPr>
          <w:sz w:val="20"/>
          <w:szCs w:val="20"/>
          <w:color w:val="auto"/>
        </w:rPr>
      </w:pPr>
      <w:r>
        <w:rPr>
          <w:rFonts w:ascii="Arial" w:cs="Arial" w:eastAsia="Arial" w:hAnsi="Arial"/>
          <w:sz w:val="14"/>
          <w:szCs w:val="14"/>
          <w:color w:val="auto"/>
        </w:rPr>
        <w:t>For the years ended December 31, 2025 and 2024, the Company recognized interest expense related to finance leases of $10 and $18, respectively, which is included within interest expense in the consolidated statements of operations and comprehensive loss.</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3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53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2"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2"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4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Operating cash flows included in the measurement of operating lease</w:t>
            </w: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4"/>
                <w:szCs w:val="14"/>
                <w:color w:val="auto"/>
              </w:rPr>
              <w:t>liabilities</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7,326</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6,964</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Financing cash outflows for finance lease liabilities</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130</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assets obtained in exchange for new finance lease liabilities</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Remeasurement of right-of-use assets resulting from lease modifications</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310</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520" w:type="dxa"/>
            <w:vAlign w:val="bottom"/>
          </w:tcPr>
          <w:p>
            <w:pPr>
              <w:spacing w:after="0"/>
              <w:rPr>
                <w:sz w:val="24"/>
                <w:szCs w:val="24"/>
                <w:color w:val="auto"/>
              </w:rPr>
            </w:pPr>
          </w:p>
        </w:tc>
        <w:tc>
          <w:tcPr>
            <w:tcW w:w="4820" w:type="dxa"/>
            <w:vAlign w:val="bottom"/>
          </w:tcPr>
          <w:p>
            <w:pPr>
              <w:ind w:left="3720"/>
              <w:spacing w:after="0"/>
              <w:rPr>
                <w:sz w:val="20"/>
                <w:szCs w:val="20"/>
                <w:color w:val="auto"/>
              </w:rPr>
            </w:pPr>
            <w:r>
              <w:rPr>
                <w:rFonts w:ascii="Arial" w:cs="Arial" w:eastAsia="Arial" w:hAnsi="Arial"/>
                <w:sz w:val="14"/>
                <w:szCs w:val="14"/>
                <w:color w:val="auto"/>
              </w:rPr>
              <w:t>F-25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5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7" w:name="page258"/>
    <w:bookmarkEnd w:id="25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28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2"/>
        </w:trPr>
        <w:tc>
          <w:tcPr>
            <w:tcW w:w="4920" w:type="dxa"/>
            <w:vAlign w:val="bottom"/>
            <w:vMerge w:val="continue"/>
          </w:tcPr>
          <w:p>
            <w:pPr>
              <w:spacing w:after="0"/>
              <w:rPr>
                <w:sz w:val="13"/>
                <w:szCs w:val="13"/>
                <w:color w:val="auto"/>
              </w:rPr>
            </w:pPr>
          </w:p>
        </w:tc>
        <w:tc>
          <w:tcPr>
            <w:tcW w:w="1220" w:type="dxa"/>
            <w:vAlign w:val="bottom"/>
            <w:tcBorders>
              <w:top w:val="single" w:sz="8" w:color="auto"/>
              <w:bottom w:val="single" w:sz="8" w:color="auto"/>
            </w:tcBorders>
          </w:tcPr>
          <w:p>
            <w:pPr>
              <w:jc w:val="right"/>
              <w:ind w:right="388"/>
              <w:spacing w:after="0" w:line="152"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88"/>
              <w:spacing w:after="0" w:line="152"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2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Weighted-average remaining lease term - operating leases</w:t>
            </w:r>
          </w:p>
        </w:tc>
        <w:tc>
          <w:tcPr>
            <w:tcW w:w="1460" w:type="dxa"/>
            <w:vAlign w:val="bottom"/>
            <w:gridSpan w:val="2"/>
            <w:shd w:val="clear" w:color="auto" w:fill="CFF0FC"/>
          </w:tcPr>
          <w:p>
            <w:pPr>
              <w:jc w:val="right"/>
              <w:ind w:right="240"/>
              <w:spacing w:after="0" w:line="152" w:lineRule="exact"/>
              <w:rPr>
                <w:sz w:val="20"/>
                <w:szCs w:val="20"/>
                <w:color w:val="auto"/>
              </w:rPr>
            </w:pPr>
            <w:r>
              <w:rPr>
                <w:rFonts w:ascii="Arial" w:cs="Arial" w:eastAsia="Arial" w:hAnsi="Arial"/>
                <w:sz w:val="14"/>
                <w:szCs w:val="14"/>
                <w:color w:val="auto"/>
              </w:rPr>
              <w:t>4.5 years</w:t>
            </w:r>
          </w:p>
        </w:tc>
        <w:tc>
          <w:tcPr>
            <w:tcW w:w="1360" w:type="dxa"/>
            <w:vAlign w:val="bottom"/>
            <w:gridSpan w:val="2"/>
            <w:shd w:val="clear" w:color="auto" w:fill="CFF0FC"/>
          </w:tcPr>
          <w:p>
            <w:pPr>
              <w:jc w:val="right"/>
              <w:ind w:right="160"/>
              <w:spacing w:after="0" w:line="152" w:lineRule="exact"/>
              <w:rPr>
                <w:sz w:val="20"/>
                <w:szCs w:val="20"/>
                <w:color w:val="auto"/>
              </w:rPr>
            </w:pPr>
            <w:r>
              <w:rPr>
                <w:rFonts w:ascii="Arial" w:cs="Arial" w:eastAsia="Arial" w:hAnsi="Arial"/>
                <w:sz w:val="14"/>
                <w:szCs w:val="14"/>
                <w:color w:val="auto"/>
              </w:rPr>
              <w:t>5.4 years</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20"/>
                <w:szCs w:val="20"/>
                <w:color w:val="auto"/>
              </w:rPr>
            </w:pPr>
            <w:r>
              <w:rPr>
                <w:rFonts w:ascii="Arial" w:cs="Arial" w:eastAsia="Arial" w:hAnsi="Arial"/>
                <w:sz w:val="14"/>
                <w:szCs w:val="14"/>
                <w:color w:val="auto"/>
              </w:rPr>
              <w:t>Weighted-average discount rate - operating leases</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10.2%</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1"/>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remaining lease term - financing leases</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2.9 years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0.9 years</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Arial" w:cs="Arial" w:eastAsia="Arial" w:hAnsi="Arial"/>
                <w:sz w:val="14"/>
                <w:szCs w:val="14"/>
                <w:color w:val="auto"/>
              </w:rPr>
              <w:t>Weighted-average discount rate - financing leases</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9.9%</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640" w:right="799"/>
        <w:spacing w:after="0" w:line="282" w:lineRule="auto"/>
        <w:rPr>
          <w:sz w:val="20"/>
          <w:szCs w:val="20"/>
          <w:color w:val="auto"/>
        </w:rPr>
      </w:pPr>
      <w:r>
        <w:rPr>
          <w:rFonts w:ascii="Arial" w:cs="Arial" w:eastAsia="Arial" w:hAnsi="Arial"/>
          <w:sz w:val="14"/>
          <w:szCs w:val="14"/>
          <w:color w:val="auto"/>
        </w:rPr>
        <w:t>Future minimum lease payments under noncancellable operating and financing leases as of December 31, 2025, are as follows:</w:t>
      </w:r>
    </w:p>
    <w:p>
      <w:pPr>
        <w:spacing w:after="0" w:line="105"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Financing Leases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2026</w:t>
            </w:r>
          </w:p>
        </w:tc>
        <w:tc>
          <w:tcPr>
            <w:tcW w:w="20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7,355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2028</w:t>
            </w:r>
          </w:p>
        </w:tc>
        <w:tc>
          <w:tcPr>
            <w:tcW w:w="20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6,224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2030</w:t>
            </w:r>
          </w:p>
        </w:tc>
        <w:tc>
          <w:tcPr>
            <w:tcW w:w="20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Total future minimum lease payment</w:t>
            </w:r>
          </w:p>
        </w:tc>
        <w:tc>
          <w:tcPr>
            <w:tcW w:w="200" w:type="dxa"/>
            <w:vAlign w:val="bottom"/>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33,327</w:t>
            </w:r>
          </w:p>
        </w:tc>
        <w:tc>
          <w:tcPr>
            <w:tcW w:w="16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395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Less: imputed interest</w:t>
            </w:r>
          </w:p>
        </w:tc>
        <w:tc>
          <w:tcPr>
            <w:tcW w:w="200" w:type="dxa"/>
            <w:vAlign w:val="bottom"/>
          </w:tcPr>
          <w:p>
            <w:pPr>
              <w:spacing w:after="0"/>
              <w:rPr>
                <w:sz w:val="14"/>
                <w:szCs w:val="1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4"/>
                <w:szCs w:val="14"/>
                <w:color w:val="auto"/>
              </w:rPr>
              <w:t>(6,561)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4"/>
                <w:szCs w:val="14"/>
                <w:color w:val="auto"/>
              </w:rPr>
              <w:t>Total lease liabilities</w:t>
            </w:r>
          </w:p>
        </w:tc>
        <w:tc>
          <w:tcPr>
            <w:tcW w:w="200" w:type="dxa"/>
            <w:vAlign w:val="bottom"/>
            <w:tcBorders>
              <w:top w:val="single" w:sz="8" w:color="auto"/>
              <w:bottom w:val="single" w:sz="8" w:color="auto"/>
            </w:tcBorders>
            <w:shd w:val="clear" w:color="auto" w:fill="CFF0FC"/>
          </w:tcPr>
          <w:p>
            <w:pPr>
              <w:jc w:val="right"/>
              <w:ind w:right="48"/>
              <w:spacing w:after="0" w:line="141"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4"/>
                <w:szCs w:val="14"/>
                <w:color w:val="auto"/>
              </w:rPr>
              <w:t>26,766</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8"/>
              <w:spacing w:after="0" w:line="141"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4"/>
                <w:szCs w:val="14"/>
                <w:color w:val="auto"/>
              </w:rPr>
              <w:t>345</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4762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-6350</wp:posOffset>
            </wp:positionV>
            <wp:extent cx="4762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98" w:lineRule="exact"/>
        <w:rPr>
          <w:sz w:val="20"/>
          <w:szCs w:val="20"/>
          <w:color w:val="auto"/>
        </w:rPr>
      </w:pPr>
    </w:p>
    <w:p>
      <w:pPr>
        <w:ind w:left="1160" w:hanging="522"/>
        <w:spacing w:after="0"/>
        <w:tabs>
          <w:tab w:leader="none" w:pos="1160"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72" w:lineRule="exact"/>
        <w:rPr>
          <w:sz w:val="20"/>
          <w:szCs w:val="20"/>
          <w:color w:val="auto"/>
        </w:rPr>
      </w:pPr>
    </w:p>
    <w:p>
      <w:pPr>
        <w:jc w:val="both"/>
        <w:ind w:left="640" w:right="659"/>
        <w:spacing w:after="0" w:line="245" w:lineRule="auto"/>
        <w:rPr>
          <w:sz w:val="20"/>
          <w:szCs w:val="20"/>
          <w:color w:val="auto"/>
        </w:rPr>
      </w:pPr>
      <w:r>
        <w:rPr>
          <w:rFonts w:ascii="Arial" w:cs="Arial" w:eastAsia="Arial" w:hAnsi="Arial"/>
          <w:sz w:val="14"/>
          <w:szCs w:val="14"/>
          <w:color w:val="auto"/>
        </w:rPr>
        <w:t>The Company has two classes of common stock that are authorized and outstanding: voting and non-voting. Holders of voting common stock are entitled to one vote per share on all matters on which stockholders have the right to vote, including director elections. Holders of non-voting common stock are not entitled to vote, except as may be required under Delaware law. All other rights and privileges of voting common stock and non-voting common stock are the same. Holders of common stock are entitled to dividends when and if declared by the Company’s Board of Directors, subject to the participation and priority rights of the Company’s outstanding convertible preferred stock. As of December 31, 2025, there were 21,620,712 shares of voting common stock and 81,240 shares of non-voting common stock issued and outstanding. In addition, the Company issued 1,618,376 issued shares of common stock that were subject to vesting as of December 31, 2025 (see Note 13).</w:t>
      </w:r>
    </w:p>
    <w:p>
      <w:pPr>
        <w:spacing w:after="0" w:line="142" w:lineRule="exact"/>
        <w:rPr>
          <w:sz w:val="20"/>
          <w:szCs w:val="20"/>
          <w:color w:val="auto"/>
        </w:rPr>
      </w:pPr>
    </w:p>
    <w:p>
      <w:pPr>
        <w:ind w:left="1160" w:hanging="522"/>
        <w:spacing w:after="0"/>
        <w:tabs>
          <w:tab w:leader="none" w:pos="1160"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Convertible Preferred Stock</w:t>
      </w:r>
    </w:p>
    <w:p>
      <w:pPr>
        <w:spacing w:after="0" w:line="172"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In 2021, the Company issued Series A, Series A-1 and Series A-2 convertible preferred stock in exchange for cash and the conversion of certain promissory notes. In March 2022, the Company issued an additional 1,624,803 shares of Series A-2 convertible preferred stock at a purchase price of $6.15 per share for an aggregate purchase price of $10 million.</w:t>
      </w:r>
    </w:p>
    <w:p>
      <w:pPr>
        <w:spacing w:after="0" w:line="130"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In May 2022, the Company issued and sold 14,469,169 shares of Series B convertible preferred stock at a purchase price of $6.32 per share for an aggregate purchase price of $91.4 million. In September 2022, the Company issued an additional 12,132,191 shares of Series B convertible preferred stock to the same investors at $6.32 per share for an aggregate purchase price of $76.7 million.</w:t>
      </w:r>
    </w:p>
    <w:p>
      <w:pPr>
        <w:spacing w:after="0" w:line="135" w:lineRule="exact"/>
        <w:rPr>
          <w:sz w:val="20"/>
          <w:szCs w:val="20"/>
          <w:color w:val="auto"/>
        </w:rPr>
      </w:pPr>
    </w:p>
    <w:p>
      <w:pPr>
        <w:jc w:val="both"/>
        <w:ind w:left="640" w:right="639"/>
        <w:spacing w:after="0" w:line="250" w:lineRule="auto"/>
        <w:rPr>
          <w:sz w:val="20"/>
          <w:szCs w:val="20"/>
          <w:color w:val="auto"/>
        </w:rPr>
      </w:pPr>
      <w:r>
        <w:rPr>
          <w:rFonts w:ascii="Arial" w:cs="Arial" w:eastAsia="Arial" w:hAnsi="Arial"/>
          <w:sz w:val="14"/>
          <w:szCs w:val="14"/>
          <w:color w:val="auto"/>
        </w:rPr>
        <w:t>In October 2023, the Company entered into a Series C Preferred Stock Purchase Agreement pursuant to which the Company issued and sold 19,426,000 shares of Series C convertible preferred stock, at a purchase price of $5.00 per share for an aggregate purchase price of $97.1 million. Between January 2024 and August 2024, the Company issued an additional aggregate amount of 4,016,000 shares of Series C convertible preferred stock to new investors, each at a purchase price of $5.00 per share for an aggregate purchase price of $20.1 million.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8" w:name="page259"/>
    <w:bookmarkEnd w:id="25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In November 2024, the Company entered into a Series C-1 Preferred Stock Purchase Agreement pursuant to which the Company issued and sold 1,459,598 shares of Series C-1 convertible preferred stock, at a purchase price of $5.14 per share for an aggregate purchase price of $7.5 million. The price paid per share for the Series C-1 convertible preferred stock was at premium compared to the fair value of the Series C-1 convertible preferred stock upon issuance, resulting in the Company recording the Series C-1 convertible preferred stock at its fair value of $6.7 million and a $0.8 million contribution within additional paid-in capital.</w:t>
      </w:r>
    </w:p>
    <w:p>
      <w:pPr>
        <w:spacing w:after="0" w:line="140" w:lineRule="exact"/>
        <w:rPr>
          <w:sz w:val="20"/>
          <w:szCs w:val="20"/>
          <w:color w:val="auto"/>
        </w:rPr>
      </w:pPr>
    </w:p>
    <w:p>
      <w:pPr>
        <w:jc w:val="both"/>
        <w:ind w:left="640" w:right="659"/>
        <w:spacing w:after="0" w:line="244" w:lineRule="auto"/>
        <w:rPr>
          <w:sz w:val="20"/>
          <w:szCs w:val="20"/>
          <w:color w:val="auto"/>
        </w:rPr>
      </w:pPr>
      <w:r>
        <w:rPr>
          <w:rFonts w:ascii="Arial" w:cs="Arial" w:eastAsia="Arial" w:hAnsi="Arial"/>
          <w:sz w:val="14"/>
          <w:szCs w:val="14"/>
          <w:color w:val="auto"/>
        </w:rPr>
        <w:t>Each issuance of the Series C and Series C-1 convertible preferred stock resulted in an adjustment of the conversion price of the Series A-1, Series A-2, and Series B convertible preferred stock, due to the down round protection feature included in the Company’s certificate of incorporation with respect to each such series. The Company accounted for the down round adjustment as a deemed dividend which was calculated as the difference between (i) the fair value of the convertible preferred stock without the conversion price adjustment and (ii) the fair value of the convertible preferred stock with the conversion price adjustment, both as determined immediately after the down round feature was triggered. As a result of the issuances of Series C-1 convertible preferred stock during the year ended December 31, 2024, the Company recorded $1.1 million within additional paid-in capital and accumulated deficit associated with the down round feature. The deemed dividend has also been included in the determination of net loss available to common stockholders for calculating the Company’s loss per share (see Note 17).</w:t>
      </w:r>
    </w:p>
    <w:p>
      <w:pPr>
        <w:spacing w:after="0" w:line="146" w:lineRule="exact"/>
        <w:rPr>
          <w:sz w:val="20"/>
          <w:szCs w:val="20"/>
          <w:color w:val="auto"/>
        </w:rPr>
      </w:pPr>
    </w:p>
    <w:p>
      <w:pPr>
        <w:jc w:val="both"/>
        <w:ind w:left="640" w:right="639"/>
        <w:spacing w:after="0" w:line="244" w:lineRule="auto"/>
        <w:rPr>
          <w:sz w:val="20"/>
          <w:szCs w:val="20"/>
          <w:color w:val="auto"/>
        </w:rPr>
      </w:pPr>
      <w:r>
        <w:rPr>
          <w:rFonts w:ascii="Arial" w:cs="Arial" w:eastAsia="Arial" w:hAnsi="Arial"/>
          <w:sz w:val="14"/>
          <w:szCs w:val="14"/>
          <w:color w:val="auto"/>
        </w:rPr>
        <w:t>In June 2025, the Company entered into a Series D Preferred Stock Purchase Agreement pursuant to which the Company issued and sold 75,327,534 shares of Series D convertible preferred stock at a purchase price of $ 1.50 per share, along with 22,598,239 warrants to purchase shares of its common stock, for an aggregate purchase price of $113.4 million. Between June 2025 and December 2025, the Company issued an additional aggregate amount of 66,622,843 shares of Series D convertible preferred stock, along with warrants to purchase 16,815,800 shares of its common stock, at a purchase price of $1.50 per share, for an aggregate purchase price of $100.3 million. The common stock warrants issued under the Series D Preferred Stock Purchase Agreement were determined to be equity classified, and the proceeds, net of issuance costs were allocated between the Series D convertible preferred stock and common stock warrants on a relative fair value basis, resulting in $196.0 million allocated to the Series D convertible preferred stock and $16.4 million allocated to the common stock warrants, which was recorded within additional paid in capital.</w:t>
      </w:r>
    </w:p>
    <w:p>
      <w:pPr>
        <w:spacing w:after="0" w:line="146" w:lineRule="exact"/>
        <w:rPr>
          <w:sz w:val="20"/>
          <w:szCs w:val="20"/>
          <w:color w:val="auto"/>
        </w:rPr>
      </w:pPr>
    </w:p>
    <w:p>
      <w:pPr>
        <w:jc w:val="both"/>
        <w:ind w:left="640" w:right="659"/>
        <w:spacing w:after="0" w:line="243" w:lineRule="auto"/>
        <w:rPr>
          <w:sz w:val="20"/>
          <w:szCs w:val="20"/>
          <w:color w:val="auto"/>
        </w:rPr>
      </w:pPr>
      <w:r>
        <w:rPr>
          <w:rFonts w:ascii="Arial" w:cs="Arial" w:eastAsia="Arial" w:hAnsi="Arial"/>
          <w:sz w:val="14"/>
          <w:szCs w:val="14"/>
          <w:color w:val="auto"/>
        </w:rPr>
        <w:t>In connection with the Series D convertible preferred stock financing, the Company's certificate of incorporation was amended and restated, which resulted in amendments to the terms of the Company's existing convertible preferred stock, including: (i) a reduction in the liquidation prices applicable to all outstanding series of the Company's existing convertible preferred stock; (ii) the addition of a special mandatory conversion feature that results in the conversion of a holder’s shares of convertible preferred stock into common stock at a 10-to-1 ratio upon failure to participate in the Series D convertible preferred stock financing; and (iii) a reduction in the mandatory conversion threshold such that convertible preferred stock will automatically convert into the Company’s common stock upon an initial public offering resulting in at least $100.0 million of proceeds. The amendments resulted in a reduction of the existing preferred stock fair value. The Company did not account for the amendments to the existing preferred stock as an extinguishment, and as such there was no impact to the amount of net income available to common shareholders for the purpose of calculating earnings per share. As a result of the special mandatory conversion feature, 1,681,885 shares of Series A convertible preferred stock were converted into 168,188 shares of common stock due to an investor not participating in the Series D convertible preferred stock financing, and were accounted for as a conversion of the convertible preferred stock.</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9" w:name="page260"/>
    <w:bookmarkEnd w:id="25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convertible preferred stock consisted of the following:</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December 31, 2025</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2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6"/>
              </w:rPr>
              <w:t>Preferred</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Preferred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Shares Issued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center"/>
              <w:ind w:right="76"/>
              <w:spacing w:after="0"/>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and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9"/>
              </w:rPr>
              <w:t>Liquidation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Issuable Upon</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3"/>
                <w:szCs w:val="13"/>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Authorized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Outstanding</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Carrying Value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Preference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Conversion</w:t>
            </w:r>
          </w:p>
        </w:tc>
        <w:tc>
          <w:tcPr>
            <w:tcW w:w="0" w:type="dxa"/>
            <w:vAlign w:val="bottom"/>
          </w:tcPr>
          <w:p>
            <w:pPr>
              <w:spacing w:after="0"/>
              <w:rPr>
                <w:sz w:val="1"/>
                <w:szCs w:val="1"/>
                <w:color w:val="auto"/>
              </w:rPr>
            </w:pPr>
          </w:p>
        </w:tc>
      </w:tr>
      <w:tr>
        <w:trPr>
          <w:trHeight w:val="131"/>
        </w:trPr>
        <w:tc>
          <w:tcPr>
            <w:tcW w:w="212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Series A convertible preferred</w:t>
            </w:r>
          </w:p>
        </w:tc>
        <w:tc>
          <w:tcPr>
            <w:tcW w:w="10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28,357,989</w:t>
            </w:r>
          </w:p>
        </w:tc>
        <w:tc>
          <w:tcPr>
            <w:tcW w:w="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28,357,989</w:t>
            </w:r>
          </w:p>
        </w:tc>
        <w:tc>
          <w:tcPr>
            <w:tcW w:w="40" w:type="dxa"/>
            <w:vAlign w:val="bottom"/>
            <w:shd w:val="clear" w:color="auto" w:fill="CFF0FC"/>
          </w:tcPr>
          <w:p>
            <w:pPr>
              <w:spacing w:after="0"/>
              <w:rPr>
                <w:sz w:val="13"/>
                <w:szCs w:val="13"/>
                <w:color w:val="auto"/>
              </w:rPr>
            </w:pPr>
          </w:p>
        </w:tc>
        <w:tc>
          <w:tcPr>
            <w:tcW w:w="34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124,198</w:t>
            </w:r>
          </w:p>
        </w:tc>
        <w:tc>
          <w:tcPr>
            <w:tcW w:w="20" w:type="dxa"/>
            <w:vAlign w:val="bottom"/>
            <w:shd w:val="clear" w:color="auto" w:fill="CFF0FC"/>
          </w:tcPr>
          <w:p>
            <w:pPr>
              <w:spacing w:after="0"/>
              <w:rPr>
                <w:sz w:val="13"/>
                <w:szCs w:val="13"/>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48,441</w:t>
            </w:r>
          </w:p>
        </w:tc>
        <w:tc>
          <w:tcPr>
            <w:tcW w:w="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36"/>
              <w:spacing w:after="0"/>
              <w:rPr>
                <w:sz w:val="20"/>
                <w:szCs w:val="20"/>
                <w:color w:val="auto"/>
              </w:rPr>
            </w:pPr>
            <w:r>
              <w:rPr>
                <w:rFonts w:ascii="Arial" w:cs="Arial" w:eastAsia="Arial" w:hAnsi="Arial"/>
                <w:sz w:val="13"/>
                <w:szCs w:val="13"/>
                <w:color w:val="auto"/>
              </w:rPr>
              <w:t>28,357,989</w:t>
            </w:r>
          </w:p>
        </w:tc>
        <w:tc>
          <w:tcPr>
            <w:tcW w:w="0" w:type="dxa"/>
            <w:vAlign w:val="bottom"/>
          </w:tcPr>
          <w:p>
            <w:pPr>
              <w:spacing w:after="0"/>
              <w:rPr>
                <w:sz w:val="1"/>
                <w:szCs w:val="1"/>
                <w:color w:val="auto"/>
              </w:rPr>
            </w:pPr>
          </w:p>
        </w:tc>
      </w:tr>
      <w:tr>
        <w:trPr>
          <w:trHeight w:val="140"/>
        </w:trPr>
        <w:tc>
          <w:tcPr>
            <w:tcW w:w="2120" w:type="dxa"/>
            <w:vAlign w:val="bottom"/>
          </w:tcPr>
          <w:p>
            <w:pPr>
              <w:spacing w:after="0" w:line="140" w:lineRule="exact"/>
              <w:rPr>
                <w:sz w:val="20"/>
                <w:szCs w:val="20"/>
                <w:color w:val="auto"/>
              </w:rPr>
            </w:pPr>
            <w:r>
              <w:rPr>
                <w:rFonts w:ascii="Arial" w:cs="Arial" w:eastAsia="Arial" w:hAnsi="Arial"/>
                <w:sz w:val="13"/>
                <w:szCs w:val="13"/>
                <w:color w:val="auto"/>
              </w:rPr>
              <w:t>Series A-1 convertible preferred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20"/>
                <w:szCs w:val="20"/>
                <w:color w:val="auto"/>
              </w:rPr>
            </w:pPr>
            <w:r>
              <w:rPr>
                <w:rFonts w:ascii="Arial" w:cs="Arial" w:eastAsia="Arial" w:hAnsi="Arial"/>
                <w:sz w:val="13"/>
                <w:szCs w:val="13"/>
                <w:color w:val="auto"/>
              </w:rPr>
              <w:t>stock</w:t>
            </w:r>
          </w:p>
        </w:tc>
        <w:tc>
          <w:tcPr>
            <w:tcW w:w="1040" w:type="dxa"/>
            <w:vAlign w:val="bottom"/>
          </w:tcPr>
          <w:p>
            <w:pPr>
              <w:jc w:val="right"/>
              <w:spacing w:after="0"/>
              <w:rPr>
                <w:sz w:val="20"/>
                <w:szCs w:val="20"/>
                <w:color w:val="auto"/>
              </w:rPr>
            </w:pPr>
            <w:r>
              <w:rPr>
                <w:rFonts w:ascii="Arial" w:cs="Arial" w:eastAsia="Arial" w:hAnsi="Arial"/>
                <w:sz w:val="13"/>
                <w:szCs w:val="13"/>
                <w:color w:val="auto"/>
              </w:rPr>
              <w:t>7,575,753</w:t>
            </w:r>
          </w:p>
        </w:tc>
        <w:tc>
          <w:tcPr>
            <w:tcW w:w="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7,575,753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44,342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17,470</w:t>
            </w:r>
          </w:p>
        </w:tc>
        <w:tc>
          <w:tcPr>
            <w:tcW w:w="20" w:type="dxa"/>
            <w:vAlign w:val="bottom"/>
          </w:tcPr>
          <w:p>
            <w:pPr>
              <w:spacing w:after="0"/>
              <w:rPr>
                <w:sz w:val="13"/>
                <w:szCs w:val="13"/>
                <w:color w:val="auto"/>
              </w:rPr>
            </w:pPr>
          </w:p>
        </w:tc>
        <w:tc>
          <w:tcPr>
            <w:tcW w:w="1180" w:type="dxa"/>
            <w:vAlign w:val="bottom"/>
            <w:gridSpan w:val="3"/>
          </w:tcPr>
          <w:p>
            <w:pPr>
              <w:jc w:val="right"/>
              <w:ind w:right="36"/>
              <w:spacing w:after="0"/>
              <w:rPr>
                <w:sz w:val="20"/>
                <w:szCs w:val="20"/>
                <w:color w:val="auto"/>
              </w:rPr>
            </w:pPr>
            <w:r>
              <w:rPr>
                <w:rFonts w:ascii="Arial" w:cs="Arial" w:eastAsia="Arial" w:hAnsi="Arial"/>
                <w:sz w:val="13"/>
                <w:szCs w:val="13"/>
                <w:color w:val="auto"/>
              </w:rPr>
              <w:t>7,821,148</w:t>
            </w: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rPr>
              <w:t>Series A-2 convertible preferred</w:t>
            </w:r>
          </w:p>
        </w:tc>
        <w:tc>
          <w:tcPr>
            <w:tcW w:w="10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7,815,303</w:t>
            </w:r>
          </w:p>
        </w:tc>
        <w:tc>
          <w:tcPr>
            <w:tcW w:w="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7,799,055</w:t>
            </w: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47,963</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18,885</w:t>
            </w:r>
          </w:p>
        </w:tc>
        <w:tc>
          <w:tcPr>
            <w:tcW w:w="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36"/>
              <w:spacing w:after="0"/>
              <w:rPr>
                <w:sz w:val="20"/>
                <w:szCs w:val="20"/>
                <w:color w:val="auto"/>
              </w:rPr>
            </w:pPr>
            <w:r>
              <w:rPr>
                <w:rFonts w:ascii="Arial" w:cs="Arial" w:eastAsia="Arial" w:hAnsi="Arial"/>
                <w:sz w:val="13"/>
                <w:szCs w:val="13"/>
                <w:color w:val="auto"/>
              </w:rPr>
              <w:t>8,125,263</w:t>
            </w:r>
          </w:p>
        </w:tc>
        <w:tc>
          <w:tcPr>
            <w:tcW w:w="0" w:type="dxa"/>
            <w:vAlign w:val="bottom"/>
          </w:tcPr>
          <w:p>
            <w:pPr>
              <w:spacing w:after="0"/>
              <w:rPr>
                <w:sz w:val="1"/>
                <w:szCs w:val="1"/>
                <w:color w:val="auto"/>
              </w:rPr>
            </w:pPr>
          </w:p>
        </w:tc>
      </w:tr>
      <w:tr>
        <w:trPr>
          <w:trHeight w:val="140"/>
        </w:trPr>
        <w:tc>
          <w:tcPr>
            <w:tcW w:w="2120" w:type="dxa"/>
            <w:vAlign w:val="bottom"/>
          </w:tcPr>
          <w:p>
            <w:pPr>
              <w:spacing w:after="0" w:line="140" w:lineRule="exact"/>
              <w:rPr>
                <w:sz w:val="20"/>
                <w:szCs w:val="20"/>
                <w:color w:val="auto"/>
              </w:rPr>
            </w:pPr>
            <w:r>
              <w:rPr>
                <w:rFonts w:ascii="Arial" w:cs="Arial" w:eastAsia="Arial" w:hAnsi="Arial"/>
                <w:sz w:val="13"/>
                <w:szCs w:val="13"/>
                <w:color w:val="auto"/>
              </w:rPr>
              <w:t>Series B convertible preferred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20"/>
                <w:szCs w:val="20"/>
                <w:color w:val="auto"/>
              </w:rPr>
            </w:pPr>
            <w:r>
              <w:rPr>
                <w:rFonts w:ascii="Arial" w:cs="Arial" w:eastAsia="Arial" w:hAnsi="Arial"/>
                <w:sz w:val="13"/>
                <w:szCs w:val="13"/>
                <w:color w:val="auto"/>
              </w:rPr>
              <w:t>stock</w:t>
            </w:r>
          </w:p>
        </w:tc>
        <w:tc>
          <w:tcPr>
            <w:tcW w:w="1040" w:type="dxa"/>
            <w:vAlign w:val="bottom"/>
          </w:tcPr>
          <w:p>
            <w:pPr>
              <w:jc w:val="right"/>
              <w:spacing w:after="0"/>
              <w:rPr>
                <w:sz w:val="20"/>
                <w:szCs w:val="20"/>
                <w:color w:val="auto"/>
              </w:rPr>
            </w:pPr>
            <w:r>
              <w:rPr>
                <w:rFonts w:ascii="Arial" w:cs="Arial" w:eastAsia="Arial" w:hAnsi="Arial"/>
                <w:sz w:val="13"/>
                <w:szCs w:val="13"/>
                <w:color w:val="auto"/>
              </w:rPr>
              <w:t>26,601,360</w:t>
            </w:r>
          </w:p>
        </w:tc>
        <w:tc>
          <w:tcPr>
            <w:tcW w:w="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26,601,360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167,765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66,100</w:t>
            </w:r>
          </w:p>
        </w:tc>
        <w:tc>
          <w:tcPr>
            <w:tcW w:w="20" w:type="dxa"/>
            <w:vAlign w:val="bottom"/>
          </w:tcPr>
          <w:p>
            <w:pPr>
              <w:spacing w:after="0"/>
              <w:rPr>
                <w:sz w:val="13"/>
                <w:szCs w:val="13"/>
                <w:color w:val="auto"/>
              </w:rPr>
            </w:pPr>
          </w:p>
        </w:tc>
        <w:tc>
          <w:tcPr>
            <w:tcW w:w="1180" w:type="dxa"/>
            <w:vAlign w:val="bottom"/>
            <w:gridSpan w:val="3"/>
          </w:tcPr>
          <w:p>
            <w:pPr>
              <w:jc w:val="right"/>
              <w:ind w:right="36"/>
              <w:spacing w:after="0"/>
              <w:rPr>
                <w:sz w:val="20"/>
                <w:szCs w:val="20"/>
                <w:color w:val="auto"/>
              </w:rPr>
            </w:pPr>
            <w:r>
              <w:rPr>
                <w:rFonts w:ascii="Arial" w:cs="Arial" w:eastAsia="Arial" w:hAnsi="Arial"/>
                <w:sz w:val="13"/>
                <w:szCs w:val="13"/>
                <w:color w:val="auto"/>
              </w:rPr>
              <w:t>27,842,952</w:t>
            </w: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rPr>
              <w:t>Series C convertible preferred</w:t>
            </w:r>
          </w:p>
        </w:tc>
        <w:tc>
          <w:tcPr>
            <w:tcW w:w="10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23,442,000</w:t>
            </w:r>
          </w:p>
        </w:tc>
        <w:tc>
          <w:tcPr>
            <w:tcW w:w="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23,442,000</w:t>
            </w: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116,578</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46,114</w:t>
            </w:r>
          </w:p>
        </w:tc>
        <w:tc>
          <w:tcPr>
            <w:tcW w:w="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36"/>
              <w:spacing w:after="0"/>
              <w:rPr>
                <w:sz w:val="20"/>
                <w:szCs w:val="20"/>
                <w:color w:val="auto"/>
              </w:rPr>
            </w:pPr>
            <w:r>
              <w:rPr>
                <w:rFonts w:ascii="Arial" w:cs="Arial" w:eastAsia="Arial" w:hAnsi="Arial"/>
                <w:sz w:val="13"/>
                <w:szCs w:val="13"/>
                <w:color w:val="auto"/>
              </w:rPr>
              <w:t>23,442,000</w:t>
            </w:r>
          </w:p>
        </w:tc>
        <w:tc>
          <w:tcPr>
            <w:tcW w:w="0" w:type="dxa"/>
            <w:vAlign w:val="bottom"/>
          </w:tcPr>
          <w:p>
            <w:pPr>
              <w:spacing w:after="0"/>
              <w:rPr>
                <w:sz w:val="1"/>
                <w:szCs w:val="1"/>
                <w:color w:val="auto"/>
              </w:rPr>
            </w:pPr>
          </w:p>
        </w:tc>
      </w:tr>
      <w:tr>
        <w:trPr>
          <w:trHeight w:val="140"/>
        </w:trPr>
        <w:tc>
          <w:tcPr>
            <w:tcW w:w="2120" w:type="dxa"/>
            <w:vAlign w:val="bottom"/>
          </w:tcPr>
          <w:p>
            <w:pPr>
              <w:spacing w:after="0" w:line="140" w:lineRule="exact"/>
              <w:rPr>
                <w:sz w:val="20"/>
                <w:szCs w:val="20"/>
                <w:color w:val="auto"/>
              </w:rPr>
            </w:pPr>
            <w:r>
              <w:rPr>
                <w:rFonts w:ascii="Arial" w:cs="Arial" w:eastAsia="Arial" w:hAnsi="Arial"/>
                <w:sz w:val="13"/>
                <w:szCs w:val="13"/>
                <w:color w:val="auto"/>
              </w:rPr>
              <w:t>Series C-1 convertible preferred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20"/>
                <w:szCs w:val="20"/>
                <w:color w:val="auto"/>
              </w:rPr>
            </w:pPr>
            <w:r>
              <w:rPr>
                <w:rFonts w:ascii="Arial" w:cs="Arial" w:eastAsia="Arial" w:hAnsi="Arial"/>
                <w:sz w:val="13"/>
                <w:szCs w:val="13"/>
                <w:color w:val="auto"/>
              </w:rPr>
              <w:t>stock</w:t>
            </w:r>
          </w:p>
        </w:tc>
        <w:tc>
          <w:tcPr>
            <w:tcW w:w="1040" w:type="dxa"/>
            <w:vAlign w:val="bottom"/>
          </w:tcPr>
          <w:p>
            <w:pPr>
              <w:jc w:val="right"/>
              <w:spacing w:after="0"/>
              <w:rPr>
                <w:sz w:val="20"/>
                <w:szCs w:val="20"/>
                <w:color w:val="auto"/>
              </w:rPr>
            </w:pPr>
            <w:r>
              <w:rPr>
                <w:rFonts w:ascii="Arial" w:cs="Arial" w:eastAsia="Arial" w:hAnsi="Arial"/>
                <w:sz w:val="13"/>
                <w:szCs w:val="13"/>
                <w:color w:val="auto"/>
              </w:rPr>
              <w:t>1,459,598</w:t>
            </w:r>
          </w:p>
        </w:tc>
        <w:tc>
          <w:tcPr>
            <w:tcW w:w="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1,459,598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6,681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2,951</w:t>
            </w:r>
          </w:p>
        </w:tc>
        <w:tc>
          <w:tcPr>
            <w:tcW w:w="20" w:type="dxa"/>
            <w:vAlign w:val="bottom"/>
          </w:tcPr>
          <w:p>
            <w:pPr>
              <w:spacing w:after="0"/>
              <w:rPr>
                <w:sz w:val="13"/>
                <w:szCs w:val="13"/>
                <w:color w:val="auto"/>
              </w:rPr>
            </w:pPr>
          </w:p>
        </w:tc>
        <w:tc>
          <w:tcPr>
            <w:tcW w:w="1180" w:type="dxa"/>
            <w:vAlign w:val="bottom"/>
            <w:gridSpan w:val="3"/>
          </w:tcPr>
          <w:p>
            <w:pPr>
              <w:jc w:val="right"/>
              <w:ind w:right="36"/>
              <w:spacing w:after="0"/>
              <w:rPr>
                <w:sz w:val="20"/>
                <w:szCs w:val="20"/>
                <w:color w:val="auto"/>
              </w:rPr>
            </w:pPr>
            <w:r>
              <w:rPr>
                <w:rFonts w:ascii="Arial" w:cs="Arial" w:eastAsia="Arial" w:hAnsi="Arial"/>
                <w:sz w:val="13"/>
                <w:szCs w:val="13"/>
                <w:color w:val="auto"/>
              </w:rPr>
              <w:t>1,459,598</w:t>
            </w: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rPr>
              <w:t>Series D convertible preferred</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142,016,823</w:t>
            </w:r>
          </w:p>
        </w:tc>
        <w:tc>
          <w:tcPr>
            <w:tcW w:w="20" w:type="dxa"/>
            <w:vAlign w:val="bottom"/>
            <w:shd w:val="clear" w:color="auto" w:fill="CFF0FC"/>
          </w:tcPr>
          <w:p>
            <w:pPr>
              <w:spacing w:after="0"/>
              <w:rPr>
                <w:sz w:val="12"/>
                <w:szCs w:val="12"/>
                <w:color w:val="auto"/>
              </w:rPr>
            </w:pPr>
          </w:p>
        </w:tc>
        <w:tc>
          <w:tcPr>
            <w:tcW w:w="80" w:type="dxa"/>
            <w:vAlign w:val="bottom"/>
            <w:gridSpan w:val="2"/>
            <w:vMerge w:val="restart"/>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141,950,377</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196,031</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213,631</w:t>
            </w:r>
          </w:p>
        </w:tc>
        <w:tc>
          <w:tcPr>
            <w:tcW w:w="20" w:type="dxa"/>
            <w:vAlign w:val="bottom"/>
            <w:shd w:val="clear" w:color="auto" w:fill="CFF0FC"/>
          </w:tcPr>
          <w:p>
            <w:pPr>
              <w:spacing w:after="0"/>
              <w:rPr>
                <w:sz w:val="12"/>
                <w:szCs w:val="12"/>
                <w:color w:val="auto"/>
              </w:rPr>
            </w:pPr>
          </w:p>
        </w:tc>
        <w:tc>
          <w:tcPr>
            <w:tcW w:w="80" w:type="dxa"/>
            <w:vAlign w:val="bottom"/>
            <w:gridSpan w:val="2"/>
            <w:vMerge w:val="restart"/>
            <w:shd w:val="clear" w:color="auto" w:fill="CFF0FC"/>
          </w:tcPr>
          <w:p>
            <w:pPr>
              <w:spacing w:after="0"/>
              <w:rPr>
                <w:sz w:val="12"/>
                <w:szCs w:val="12"/>
                <w:color w:val="auto"/>
              </w:rPr>
            </w:pPr>
          </w:p>
        </w:tc>
        <w:tc>
          <w:tcPr>
            <w:tcW w:w="1100" w:type="dxa"/>
            <w:vAlign w:val="bottom"/>
            <w:vMerge w:val="restart"/>
            <w:shd w:val="clear" w:color="auto" w:fill="CFF0FC"/>
          </w:tcPr>
          <w:p>
            <w:pPr>
              <w:jc w:val="right"/>
              <w:ind w:right="36"/>
              <w:spacing w:after="0"/>
              <w:rPr>
                <w:sz w:val="20"/>
                <w:szCs w:val="20"/>
                <w:color w:val="auto"/>
              </w:rPr>
            </w:pPr>
            <w:r>
              <w:rPr>
                <w:rFonts w:ascii="Arial" w:cs="Arial" w:eastAsia="Arial" w:hAnsi="Arial"/>
                <w:sz w:val="13"/>
                <w:szCs w:val="13"/>
                <w:color w:val="auto"/>
              </w:rPr>
              <w:t>141,950,377</w:t>
            </w:r>
          </w:p>
        </w:tc>
        <w:tc>
          <w:tcPr>
            <w:tcW w:w="0" w:type="dxa"/>
            <w:vAlign w:val="bottom"/>
          </w:tcPr>
          <w:p>
            <w:pPr>
              <w:spacing w:after="0"/>
              <w:rPr>
                <w:sz w:val="1"/>
                <w:szCs w:val="1"/>
                <w:color w:val="auto"/>
              </w:rPr>
            </w:pPr>
          </w:p>
        </w:tc>
      </w:tr>
      <w:tr>
        <w:trPr>
          <w:trHeight w:val="150"/>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tcBorders>
              <w:bottom w:val="single" w:sz="8" w:color="auto"/>
            </w:tcBorders>
            <w:vMerge w:val="continue"/>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CFF0FC"/>
            </w:tcBorders>
            <w:gridSpan w:val="2"/>
            <w:vMerge w:val="continue"/>
            <w:shd w:val="clear" w:color="auto" w:fill="CFF0FC"/>
          </w:tcPr>
          <w:p>
            <w:pPr>
              <w:spacing w:after="0"/>
              <w:rPr>
                <w:sz w:val="13"/>
                <w:szCs w:val="13"/>
                <w:color w:val="auto"/>
              </w:rPr>
            </w:pPr>
          </w:p>
        </w:tc>
        <w:tc>
          <w:tcPr>
            <w:tcW w:w="1040" w:type="dxa"/>
            <w:vAlign w:val="bottom"/>
            <w:tcBorders>
              <w:bottom w:val="single" w:sz="8" w:color="auto"/>
            </w:tcBorders>
            <w:vMerge w:val="continue"/>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CFF0FC"/>
            </w:tcBorders>
            <w:gridSpan w:val="2"/>
            <w:vMerge w:val="continue"/>
            <w:shd w:val="clear" w:color="auto" w:fill="CFF0FC"/>
          </w:tcPr>
          <w:p>
            <w:pPr>
              <w:spacing w:after="0"/>
              <w:rPr>
                <w:sz w:val="13"/>
                <w:szCs w:val="13"/>
                <w:color w:val="auto"/>
              </w:rPr>
            </w:pPr>
          </w:p>
        </w:tc>
        <w:tc>
          <w:tcPr>
            <w:tcW w:w="110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237,268,826</w:t>
            </w:r>
          </w:p>
        </w:tc>
        <w:tc>
          <w:tcPr>
            <w:tcW w:w="20" w:type="dxa"/>
            <w:vAlign w:val="bottom"/>
            <w:tcBorders>
              <w:bottom w:val="single" w:sz="8" w:color="auto"/>
            </w:tcBorders>
          </w:tcPr>
          <w:p>
            <w:pPr>
              <w:spacing w:after="0"/>
              <w:rPr>
                <w:sz w:val="12"/>
                <w:szCs w:val="12"/>
                <w:color w:val="auto"/>
              </w:rPr>
            </w:pPr>
          </w:p>
        </w:tc>
        <w:tc>
          <w:tcPr>
            <w:tcW w:w="80" w:type="dxa"/>
            <w:vAlign w:val="bottom"/>
            <w:gridSpan w:val="2"/>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237,186,132</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703,558</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413,592</w:t>
            </w:r>
          </w:p>
        </w:tc>
        <w:tc>
          <w:tcPr>
            <w:tcW w:w="20" w:type="dxa"/>
            <w:vAlign w:val="bottom"/>
            <w:tcBorders>
              <w:bottom w:val="single" w:sz="8" w:color="auto"/>
            </w:tcBorders>
          </w:tcPr>
          <w:p>
            <w:pPr>
              <w:spacing w:after="0"/>
              <w:rPr>
                <w:sz w:val="12"/>
                <w:szCs w:val="12"/>
                <w:color w:val="auto"/>
              </w:rPr>
            </w:pPr>
          </w:p>
        </w:tc>
        <w:tc>
          <w:tcPr>
            <w:tcW w:w="80" w:type="dxa"/>
            <w:vAlign w:val="bottom"/>
            <w:gridSpan w:val="2"/>
          </w:tcPr>
          <w:p>
            <w:pPr>
              <w:spacing w:after="0"/>
              <w:rPr>
                <w:sz w:val="12"/>
                <w:szCs w:val="12"/>
                <w:color w:val="auto"/>
              </w:rPr>
            </w:pPr>
          </w:p>
        </w:tc>
        <w:tc>
          <w:tcPr>
            <w:tcW w:w="110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238,999,327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right"/>
              <w:ind w:right="216"/>
              <w:spacing w:after="0"/>
              <w:rPr>
                <w:sz w:val="20"/>
                <w:szCs w:val="20"/>
                <w:color w:val="auto"/>
              </w:rPr>
            </w:pPr>
            <w:r>
              <w:rPr>
                <w:rFonts w:ascii="Arial" w:cs="Arial" w:eastAsia="Arial" w:hAnsi="Arial"/>
                <w:sz w:val="13"/>
                <w:szCs w:val="13"/>
                <w:b w:val="1"/>
                <w:bCs w:val="1"/>
                <w:color w:val="auto"/>
                <w:w w:val="97"/>
              </w:rPr>
              <w:t>December 31, 2024</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rPr>
              <w:t>Preferred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Preferred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Shares Issued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jc w:val="center"/>
              <w:ind w:right="76"/>
              <w:spacing w:after="0"/>
              <w:rPr>
                <w:sz w:val="20"/>
                <w:szCs w:val="20"/>
                <w:color w:val="auto"/>
              </w:rPr>
            </w:pPr>
            <w:r>
              <w:rPr>
                <w:rFonts w:ascii="Arial" w:cs="Arial" w:eastAsia="Arial" w:hAnsi="Arial"/>
                <w:sz w:val="13"/>
                <w:szCs w:val="13"/>
                <w:b w:val="1"/>
                <w:bCs w:val="1"/>
                <w:color w:val="auto"/>
                <w:w w:val="98"/>
              </w:rPr>
              <w:t>Common Stock</w:t>
            </w: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and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Liquidation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center"/>
              <w:ind w:right="116"/>
              <w:spacing w:after="0"/>
              <w:rPr>
                <w:sz w:val="20"/>
                <w:szCs w:val="20"/>
                <w:color w:val="auto"/>
              </w:rPr>
            </w:pPr>
            <w:r>
              <w:rPr>
                <w:rFonts w:ascii="Arial" w:cs="Arial" w:eastAsia="Arial" w:hAnsi="Arial"/>
                <w:sz w:val="13"/>
                <w:szCs w:val="13"/>
                <w:b w:val="1"/>
                <w:bCs w:val="1"/>
                <w:color w:val="auto"/>
                <w:w w:val="98"/>
              </w:rPr>
              <w:t>Issuable Upon</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Authorized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Outstanding</w:t>
            </w:r>
          </w:p>
        </w:tc>
        <w:tc>
          <w:tcPr>
            <w:tcW w:w="4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3"/>
                <w:szCs w:val="13"/>
                <w:b w:val="1"/>
                <w:bCs w:val="1"/>
                <w:color w:val="auto"/>
              </w:rPr>
              <w:t>Carrying Value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Preference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Conversion</w:t>
            </w:r>
          </w:p>
        </w:tc>
        <w:tc>
          <w:tcPr>
            <w:tcW w:w="0" w:type="dxa"/>
            <w:vAlign w:val="bottom"/>
          </w:tcPr>
          <w:p>
            <w:pPr>
              <w:spacing w:after="0"/>
              <w:rPr>
                <w:sz w:val="1"/>
                <w:szCs w:val="1"/>
                <w:color w:val="auto"/>
              </w:rPr>
            </w:pPr>
          </w:p>
        </w:tc>
      </w:tr>
      <w:tr>
        <w:trPr>
          <w:trHeight w:val="131"/>
        </w:trPr>
        <w:tc>
          <w:tcPr>
            <w:tcW w:w="2120" w:type="dxa"/>
            <w:vAlign w:val="bottom"/>
            <w:shd w:val="clear" w:color="auto" w:fill="CFF0FC"/>
          </w:tcPr>
          <w:p>
            <w:pPr>
              <w:spacing w:after="0" w:line="131" w:lineRule="exact"/>
              <w:rPr>
                <w:sz w:val="20"/>
                <w:szCs w:val="20"/>
                <w:color w:val="auto"/>
              </w:rPr>
            </w:pPr>
            <w:r>
              <w:rPr>
                <w:rFonts w:ascii="Arial" w:cs="Arial" w:eastAsia="Arial" w:hAnsi="Arial"/>
                <w:sz w:val="13"/>
                <w:szCs w:val="13"/>
                <w:color w:val="auto"/>
              </w:rPr>
              <w:t>Series A convertible preferred</w:t>
            </w:r>
          </w:p>
        </w:tc>
        <w:tc>
          <w:tcPr>
            <w:tcW w:w="1040" w:type="dxa"/>
            <w:vAlign w:val="bottom"/>
            <w:tcBorders>
              <w:top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30,039,874</w:t>
            </w:r>
          </w:p>
        </w:tc>
        <w:tc>
          <w:tcPr>
            <w:tcW w:w="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16"/>
              <w:spacing w:after="0"/>
              <w:rPr>
                <w:sz w:val="20"/>
                <w:szCs w:val="20"/>
                <w:color w:val="auto"/>
              </w:rPr>
            </w:pPr>
            <w:r>
              <w:rPr>
                <w:rFonts w:ascii="Arial" w:cs="Arial" w:eastAsia="Arial" w:hAnsi="Arial"/>
                <w:sz w:val="13"/>
                <w:szCs w:val="13"/>
                <w:color w:val="auto"/>
              </w:rPr>
              <w:t>30,039,874</w:t>
            </w:r>
          </w:p>
        </w:tc>
        <w:tc>
          <w:tcPr>
            <w:tcW w:w="40" w:type="dxa"/>
            <w:vAlign w:val="bottom"/>
            <w:shd w:val="clear" w:color="auto" w:fill="CFF0FC"/>
          </w:tcPr>
          <w:p>
            <w:pPr>
              <w:spacing w:after="0"/>
              <w:rPr>
                <w:sz w:val="13"/>
                <w:szCs w:val="13"/>
                <w:color w:val="auto"/>
              </w:rPr>
            </w:pPr>
          </w:p>
        </w:tc>
        <w:tc>
          <w:tcPr>
            <w:tcW w:w="340" w:type="dxa"/>
            <w:vAlign w:val="bottom"/>
            <w:gridSpan w:val="3"/>
            <w:shd w:val="clear" w:color="auto" w:fill="CFF0FC"/>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131,564</w:t>
            </w:r>
          </w:p>
        </w:tc>
        <w:tc>
          <w:tcPr>
            <w:tcW w:w="20" w:type="dxa"/>
            <w:vAlign w:val="bottom"/>
            <w:shd w:val="clear" w:color="auto" w:fill="CFF0FC"/>
          </w:tcPr>
          <w:p>
            <w:pPr>
              <w:spacing w:after="0"/>
              <w:rPr>
                <w:sz w:val="13"/>
                <w:szCs w:val="13"/>
                <w:color w:val="auto"/>
              </w:rPr>
            </w:pPr>
          </w:p>
        </w:tc>
        <w:tc>
          <w:tcPr>
            <w:tcW w:w="16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131,788</w:t>
            </w:r>
          </w:p>
        </w:tc>
        <w:tc>
          <w:tcPr>
            <w:tcW w:w="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36"/>
              <w:spacing w:after="0"/>
              <w:rPr>
                <w:sz w:val="20"/>
                <w:szCs w:val="20"/>
                <w:color w:val="auto"/>
              </w:rPr>
            </w:pPr>
            <w:r>
              <w:rPr>
                <w:rFonts w:ascii="Arial" w:cs="Arial" w:eastAsia="Arial" w:hAnsi="Arial"/>
                <w:sz w:val="13"/>
                <w:szCs w:val="13"/>
                <w:color w:val="auto"/>
              </w:rPr>
              <w:t>30,039,874</w:t>
            </w:r>
          </w:p>
        </w:tc>
        <w:tc>
          <w:tcPr>
            <w:tcW w:w="0" w:type="dxa"/>
            <w:vAlign w:val="bottom"/>
          </w:tcPr>
          <w:p>
            <w:pPr>
              <w:spacing w:after="0"/>
              <w:rPr>
                <w:sz w:val="1"/>
                <w:szCs w:val="1"/>
                <w:color w:val="auto"/>
              </w:rPr>
            </w:pPr>
          </w:p>
        </w:tc>
      </w:tr>
      <w:tr>
        <w:trPr>
          <w:trHeight w:val="140"/>
        </w:trPr>
        <w:tc>
          <w:tcPr>
            <w:tcW w:w="2120" w:type="dxa"/>
            <w:vAlign w:val="bottom"/>
          </w:tcPr>
          <w:p>
            <w:pPr>
              <w:spacing w:after="0" w:line="140" w:lineRule="exact"/>
              <w:rPr>
                <w:sz w:val="20"/>
                <w:szCs w:val="20"/>
                <w:color w:val="auto"/>
              </w:rPr>
            </w:pPr>
            <w:r>
              <w:rPr>
                <w:rFonts w:ascii="Arial" w:cs="Arial" w:eastAsia="Arial" w:hAnsi="Arial"/>
                <w:sz w:val="13"/>
                <w:szCs w:val="13"/>
                <w:color w:val="auto"/>
              </w:rPr>
              <w:t>Series A-1 convertible preferred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20"/>
                <w:szCs w:val="20"/>
                <w:color w:val="auto"/>
              </w:rPr>
            </w:pPr>
            <w:r>
              <w:rPr>
                <w:rFonts w:ascii="Arial" w:cs="Arial" w:eastAsia="Arial" w:hAnsi="Arial"/>
                <w:sz w:val="13"/>
                <w:szCs w:val="13"/>
                <w:color w:val="auto"/>
              </w:rPr>
              <w:t>stock</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7,575,753</w:t>
            </w:r>
          </w:p>
        </w:tc>
        <w:tc>
          <w:tcPr>
            <w:tcW w:w="20" w:type="dxa"/>
            <w:vAlign w:val="bottom"/>
          </w:tcPr>
          <w:p>
            <w:pPr>
              <w:spacing w:after="0"/>
              <w:rPr>
                <w:sz w:val="13"/>
                <w:szCs w:val="13"/>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3"/>
                <w:szCs w:val="13"/>
                <w:color w:val="auto"/>
              </w:rPr>
              <w:t>7,575,753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44,342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44,405</w:t>
            </w:r>
          </w:p>
        </w:tc>
        <w:tc>
          <w:tcPr>
            <w:tcW w:w="20" w:type="dxa"/>
            <w:vAlign w:val="bottom"/>
          </w:tcPr>
          <w:p>
            <w:pPr>
              <w:spacing w:after="0"/>
              <w:rPr>
                <w:sz w:val="13"/>
                <w:szCs w:val="13"/>
                <w:color w:val="auto"/>
              </w:rPr>
            </w:pPr>
          </w:p>
        </w:tc>
        <w:tc>
          <w:tcPr>
            <w:tcW w:w="1180" w:type="dxa"/>
            <w:vAlign w:val="bottom"/>
            <w:gridSpan w:val="3"/>
          </w:tcPr>
          <w:p>
            <w:pPr>
              <w:jc w:val="right"/>
              <w:ind w:right="36"/>
              <w:spacing w:after="0"/>
              <w:rPr>
                <w:sz w:val="20"/>
                <w:szCs w:val="20"/>
                <w:color w:val="auto"/>
              </w:rPr>
            </w:pPr>
            <w:r>
              <w:rPr>
                <w:rFonts w:ascii="Arial" w:cs="Arial" w:eastAsia="Arial" w:hAnsi="Arial"/>
                <w:sz w:val="13"/>
                <w:szCs w:val="13"/>
                <w:color w:val="auto"/>
              </w:rPr>
              <w:t>7,821,148</w:t>
            </w: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rPr>
              <w:t>Series A-2 convertible preferred</w:t>
            </w:r>
          </w:p>
        </w:tc>
        <w:tc>
          <w:tcPr>
            <w:tcW w:w="10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7,815,303</w:t>
            </w:r>
          </w:p>
        </w:tc>
        <w:tc>
          <w:tcPr>
            <w:tcW w:w="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16"/>
              <w:spacing w:after="0"/>
              <w:rPr>
                <w:sz w:val="20"/>
                <w:szCs w:val="20"/>
                <w:color w:val="auto"/>
              </w:rPr>
            </w:pPr>
            <w:r>
              <w:rPr>
                <w:rFonts w:ascii="Arial" w:cs="Arial" w:eastAsia="Arial" w:hAnsi="Arial"/>
                <w:sz w:val="13"/>
                <w:szCs w:val="13"/>
                <w:color w:val="auto"/>
              </w:rPr>
              <w:t>7,799,055</w:t>
            </w: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47,963</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48,000</w:t>
            </w:r>
          </w:p>
        </w:tc>
        <w:tc>
          <w:tcPr>
            <w:tcW w:w="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36"/>
              <w:spacing w:after="0"/>
              <w:rPr>
                <w:sz w:val="20"/>
                <w:szCs w:val="20"/>
                <w:color w:val="auto"/>
              </w:rPr>
            </w:pPr>
            <w:r>
              <w:rPr>
                <w:rFonts w:ascii="Arial" w:cs="Arial" w:eastAsia="Arial" w:hAnsi="Arial"/>
                <w:sz w:val="13"/>
                <w:szCs w:val="13"/>
                <w:color w:val="auto"/>
              </w:rPr>
              <w:t>8,125,263</w:t>
            </w:r>
          </w:p>
        </w:tc>
        <w:tc>
          <w:tcPr>
            <w:tcW w:w="0" w:type="dxa"/>
            <w:vAlign w:val="bottom"/>
          </w:tcPr>
          <w:p>
            <w:pPr>
              <w:spacing w:after="0"/>
              <w:rPr>
                <w:sz w:val="1"/>
                <w:szCs w:val="1"/>
                <w:color w:val="auto"/>
              </w:rPr>
            </w:pPr>
          </w:p>
        </w:tc>
      </w:tr>
      <w:tr>
        <w:trPr>
          <w:trHeight w:val="140"/>
        </w:trPr>
        <w:tc>
          <w:tcPr>
            <w:tcW w:w="2120" w:type="dxa"/>
            <w:vAlign w:val="bottom"/>
          </w:tcPr>
          <w:p>
            <w:pPr>
              <w:spacing w:after="0" w:line="140" w:lineRule="exact"/>
              <w:rPr>
                <w:sz w:val="20"/>
                <w:szCs w:val="20"/>
                <w:color w:val="auto"/>
              </w:rPr>
            </w:pPr>
            <w:r>
              <w:rPr>
                <w:rFonts w:ascii="Arial" w:cs="Arial" w:eastAsia="Arial" w:hAnsi="Arial"/>
                <w:sz w:val="13"/>
                <w:szCs w:val="13"/>
                <w:color w:val="auto"/>
              </w:rPr>
              <w:t>Series B convertible preferred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20"/>
                <w:szCs w:val="20"/>
                <w:color w:val="auto"/>
              </w:rPr>
            </w:pPr>
            <w:r>
              <w:rPr>
                <w:rFonts w:ascii="Arial" w:cs="Arial" w:eastAsia="Arial" w:hAnsi="Arial"/>
                <w:sz w:val="13"/>
                <w:szCs w:val="13"/>
                <w:color w:val="auto"/>
              </w:rPr>
              <w:t>stock</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26,601,360</w:t>
            </w:r>
          </w:p>
        </w:tc>
        <w:tc>
          <w:tcPr>
            <w:tcW w:w="20" w:type="dxa"/>
            <w:vAlign w:val="bottom"/>
          </w:tcPr>
          <w:p>
            <w:pPr>
              <w:spacing w:after="0"/>
              <w:rPr>
                <w:sz w:val="13"/>
                <w:szCs w:val="13"/>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3"/>
                <w:szCs w:val="13"/>
                <w:color w:val="auto"/>
              </w:rPr>
              <w:t>26,601,360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167,765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168,010</w:t>
            </w:r>
          </w:p>
        </w:tc>
        <w:tc>
          <w:tcPr>
            <w:tcW w:w="20" w:type="dxa"/>
            <w:vAlign w:val="bottom"/>
          </w:tcPr>
          <w:p>
            <w:pPr>
              <w:spacing w:after="0"/>
              <w:rPr>
                <w:sz w:val="13"/>
                <w:szCs w:val="13"/>
                <w:color w:val="auto"/>
              </w:rPr>
            </w:pPr>
          </w:p>
        </w:tc>
        <w:tc>
          <w:tcPr>
            <w:tcW w:w="1180" w:type="dxa"/>
            <w:vAlign w:val="bottom"/>
            <w:gridSpan w:val="3"/>
          </w:tcPr>
          <w:p>
            <w:pPr>
              <w:jc w:val="right"/>
              <w:ind w:right="36"/>
              <w:spacing w:after="0"/>
              <w:rPr>
                <w:sz w:val="20"/>
                <w:szCs w:val="20"/>
                <w:color w:val="auto"/>
              </w:rPr>
            </w:pPr>
            <w:r>
              <w:rPr>
                <w:rFonts w:ascii="Arial" w:cs="Arial" w:eastAsia="Arial" w:hAnsi="Arial"/>
                <w:sz w:val="13"/>
                <w:szCs w:val="13"/>
                <w:color w:val="auto"/>
              </w:rPr>
              <w:t>27,842,952</w:t>
            </w: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rPr>
              <w:t>Series C convertible preferred</w:t>
            </w:r>
          </w:p>
        </w:tc>
        <w:tc>
          <w:tcPr>
            <w:tcW w:w="10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23,442,000</w:t>
            </w:r>
          </w:p>
        </w:tc>
        <w:tc>
          <w:tcPr>
            <w:tcW w:w="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16"/>
              <w:spacing w:after="0"/>
              <w:rPr>
                <w:sz w:val="20"/>
                <w:szCs w:val="20"/>
                <w:color w:val="auto"/>
              </w:rPr>
            </w:pPr>
            <w:r>
              <w:rPr>
                <w:rFonts w:ascii="Arial" w:cs="Arial" w:eastAsia="Arial" w:hAnsi="Arial"/>
                <w:sz w:val="13"/>
                <w:szCs w:val="13"/>
                <w:color w:val="auto"/>
              </w:rPr>
              <w:t>23,442,000</w:t>
            </w: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116,578</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117,210</w:t>
            </w:r>
          </w:p>
        </w:tc>
        <w:tc>
          <w:tcPr>
            <w:tcW w:w="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36"/>
              <w:spacing w:after="0"/>
              <w:rPr>
                <w:sz w:val="20"/>
                <w:szCs w:val="20"/>
                <w:color w:val="auto"/>
              </w:rPr>
            </w:pPr>
            <w:r>
              <w:rPr>
                <w:rFonts w:ascii="Arial" w:cs="Arial" w:eastAsia="Arial" w:hAnsi="Arial"/>
                <w:sz w:val="13"/>
                <w:szCs w:val="13"/>
                <w:color w:val="auto"/>
              </w:rPr>
              <w:t>23,442,000</w:t>
            </w:r>
          </w:p>
        </w:tc>
        <w:tc>
          <w:tcPr>
            <w:tcW w:w="0" w:type="dxa"/>
            <w:vAlign w:val="bottom"/>
          </w:tcPr>
          <w:p>
            <w:pPr>
              <w:spacing w:after="0"/>
              <w:rPr>
                <w:sz w:val="1"/>
                <w:szCs w:val="1"/>
                <w:color w:val="auto"/>
              </w:rPr>
            </w:pPr>
          </w:p>
        </w:tc>
      </w:tr>
      <w:tr>
        <w:trPr>
          <w:trHeight w:val="140"/>
        </w:trPr>
        <w:tc>
          <w:tcPr>
            <w:tcW w:w="2120" w:type="dxa"/>
            <w:vAlign w:val="bottom"/>
          </w:tcPr>
          <w:p>
            <w:pPr>
              <w:spacing w:after="0" w:line="140" w:lineRule="exact"/>
              <w:rPr>
                <w:sz w:val="20"/>
                <w:szCs w:val="20"/>
                <w:color w:val="auto"/>
              </w:rPr>
            </w:pPr>
            <w:r>
              <w:rPr>
                <w:rFonts w:ascii="Arial" w:cs="Arial" w:eastAsia="Arial" w:hAnsi="Arial"/>
                <w:sz w:val="13"/>
                <w:szCs w:val="13"/>
                <w:color w:val="auto"/>
              </w:rPr>
              <w:t>Series C-1 convertible preferred</w:t>
            </w:r>
          </w:p>
        </w:tc>
        <w:tc>
          <w:tcPr>
            <w:tcW w:w="1040" w:type="dxa"/>
            <w:vAlign w:val="bottom"/>
            <w:vMerge w:val="restart"/>
          </w:tcPr>
          <w:p>
            <w:pPr>
              <w:jc w:val="right"/>
              <w:ind w:right="36"/>
              <w:spacing w:after="0"/>
              <w:rPr>
                <w:sz w:val="20"/>
                <w:szCs w:val="20"/>
                <w:color w:val="auto"/>
              </w:rPr>
            </w:pPr>
            <w:r>
              <w:rPr>
                <w:rFonts w:ascii="Arial" w:cs="Arial" w:eastAsia="Arial" w:hAnsi="Arial"/>
                <w:sz w:val="13"/>
                <w:szCs w:val="13"/>
                <w:color w:val="auto"/>
              </w:rPr>
              <w:t>4,865,327</w:t>
            </w:r>
          </w:p>
        </w:tc>
        <w:tc>
          <w:tcPr>
            <w:tcW w:w="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106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rPr>
              <w:t>1,459,598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6,681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16"/>
              <w:spacing w:after="0"/>
              <w:rPr>
                <w:sz w:val="20"/>
                <w:szCs w:val="20"/>
                <w:color w:val="auto"/>
              </w:rPr>
            </w:pPr>
            <w:r>
              <w:rPr>
                <w:rFonts w:ascii="Arial" w:cs="Arial" w:eastAsia="Arial" w:hAnsi="Arial"/>
                <w:sz w:val="13"/>
                <w:szCs w:val="13"/>
                <w:color w:val="auto"/>
              </w:rPr>
              <w:t>7,500</w:t>
            </w:r>
          </w:p>
        </w:tc>
        <w:tc>
          <w:tcPr>
            <w:tcW w:w="20" w:type="dxa"/>
            <w:vAlign w:val="bottom"/>
          </w:tcPr>
          <w:p>
            <w:pPr>
              <w:spacing w:after="0"/>
              <w:rPr>
                <w:sz w:val="12"/>
                <w:szCs w:val="12"/>
                <w:color w:val="auto"/>
              </w:rPr>
            </w:pPr>
          </w:p>
        </w:tc>
        <w:tc>
          <w:tcPr>
            <w:tcW w:w="1180" w:type="dxa"/>
            <w:vAlign w:val="bottom"/>
            <w:gridSpan w:val="3"/>
            <w:vMerge w:val="restart"/>
          </w:tcPr>
          <w:p>
            <w:pPr>
              <w:jc w:val="right"/>
              <w:ind w:right="36"/>
              <w:spacing w:after="0"/>
              <w:rPr>
                <w:sz w:val="20"/>
                <w:szCs w:val="20"/>
                <w:color w:val="auto"/>
              </w:rPr>
            </w:pPr>
            <w:r>
              <w:rPr>
                <w:rFonts w:ascii="Arial" w:cs="Arial" w:eastAsia="Arial" w:hAnsi="Arial"/>
                <w:sz w:val="13"/>
                <w:szCs w:val="13"/>
                <w:color w:val="auto"/>
              </w:rPr>
              <w:t>1,459,598</w:t>
            </w:r>
          </w:p>
        </w:tc>
        <w:tc>
          <w:tcPr>
            <w:tcW w:w="0" w:type="dxa"/>
            <w:vAlign w:val="bottom"/>
          </w:tcPr>
          <w:p>
            <w:pPr>
              <w:spacing w:after="0"/>
              <w:rPr>
                <w:sz w:val="1"/>
                <w:szCs w:val="1"/>
                <w:color w:val="auto"/>
              </w:rPr>
            </w:pPr>
          </w:p>
        </w:tc>
      </w:tr>
      <w:tr>
        <w:trPr>
          <w:trHeight w:val="150"/>
        </w:trPr>
        <w:tc>
          <w:tcPr>
            <w:tcW w:w="2120" w:type="dxa"/>
            <w:vAlign w:val="bottom"/>
          </w:tcPr>
          <w:p>
            <w:pPr>
              <w:spacing w:after="0"/>
              <w:rPr>
                <w:sz w:val="20"/>
                <w:szCs w:val="20"/>
                <w:color w:val="auto"/>
              </w:rPr>
            </w:pPr>
            <w:r>
              <w:rPr>
                <w:rFonts w:ascii="Arial" w:cs="Arial" w:eastAsia="Arial" w:hAnsi="Arial"/>
                <w:sz w:val="13"/>
                <w:szCs w:val="13"/>
                <w:color w:val="auto"/>
              </w:rPr>
              <w:t>stock</w:t>
            </w:r>
          </w:p>
        </w:tc>
        <w:tc>
          <w:tcPr>
            <w:tcW w:w="104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100,339,617</w:t>
            </w:r>
          </w:p>
        </w:tc>
        <w:tc>
          <w:tcPr>
            <w:tcW w:w="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gridSpan w:val="2"/>
            <w:shd w:val="clear" w:color="auto" w:fill="CFF0FC"/>
          </w:tcPr>
          <w:p>
            <w:pPr>
              <w:jc w:val="right"/>
              <w:ind w:right="16"/>
              <w:spacing w:after="0" w:line="141" w:lineRule="exact"/>
              <w:rPr>
                <w:sz w:val="20"/>
                <w:szCs w:val="20"/>
                <w:color w:val="auto"/>
              </w:rPr>
            </w:pPr>
            <w:r>
              <w:rPr>
                <w:rFonts w:ascii="Arial" w:cs="Arial" w:eastAsia="Arial" w:hAnsi="Arial"/>
                <w:sz w:val="13"/>
                <w:szCs w:val="13"/>
                <w:color w:val="auto"/>
              </w:rPr>
              <w:t>96,917,640</w:t>
            </w: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514,893</w:t>
            </w:r>
          </w:p>
        </w:tc>
        <w:tc>
          <w:tcPr>
            <w:tcW w:w="2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16"/>
              <w:spacing w:after="0" w:line="141" w:lineRule="exact"/>
              <w:rPr>
                <w:sz w:val="20"/>
                <w:szCs w:val="20"/>
                <w:color w:val="auto"/>
              </w:rPr>
            </w:pPr>
            <w:r>
              <w:rPr>
                <w:rFonts w:ascii="Arial" w:cs="Arial" w:eastAsia="Arial" w:hAnsi="Arial"/>
                <w:sz w:val="13"/>
                <w:szCs w:val="13"/>
                <w:color w:val="auto"/>
              </w:rPr>
              <w:t>516,913</w:t>
            </w:r>
          </w:p>
        </w:tc>
        <w:tc>
          <w:tcPr>
            <w:tcW w:w="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gridSpan w:val="3"/>
            <w:shd w:val="clear" w:color="auto" w:fill="CFF0FC"/>
          </w:tcPr>
          <w:p>
            <w:pPr>
              <w:jc w:val="right"/>
              <w:ind w:right="36"/>
              <w:spacing w:after="0" w:line="141" w:lineRule="exact"/>
              <w:rPr>
                <w:sz w:val="20"/>
                <w:szCs w:val="20"/>
                <w:color w:val="auto"/>
              </w:rPr>
            </w:pPr>
            <w:r>
              <w:rPr>
                <w:rFonts w:ascii="Arial" w:cs="Arial" w:eastAsia="Arial" w:hAnsi="Arial"/>
                <w:sz w:val="13"/>
                <w:szCs w:val="13"/>
                <w:color w:val="auto"/>
              </w:rPr>
              <w:t>98,730,835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-1997710</wp:posOffset>
            </wp:positionV>
            <wp:extent cx="4762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-1997710</wp:posOffset>
            </wp:positionV>
            <wp:extent cx="4762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-1997710</wp:posOffset>
            </wp:positionV>
            <wp:extent cx="4762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-1997710</wp:posOffset>
            </wp:positionV>
            <wp:extent cx="4762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-19685</wp:posOffset>
            </wp:positionV>
            <wp:extent cx="4762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-6350</wp:posOffset>
            </wp:positionV>
            <wp:extent cx="4762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-19685</wp:posOffset>
            </wp:positionV>
            <wp:extent cx="4762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-6350</wp:posOffset>
            </wp:positionV>
            <wp:extent cx="4762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As of December 31, 2025, the holders of the Series A convertible preferred stock, Series A-1 convertible preferred stock, Series A-2 convertible preferred stock, Series B convertible preferred stock, Series C convertible preferred stock, Series C-1 convertible preferred stock and Series D convertible preferred stock have the following rights and preferences:</w:t>
      </w:r>
    </w:p>
    <w:p>
      <w:pPr>
        <w:spacing w:after="0" w:line="130" w:lineRule="exact"/>
        <w:rPr>
          <w:sz w:val="20"/>
          <w:szCs w:val="20"/>
          <w:color w:val="auto"/>
        </w:rPr>
      </w:pPr>
    </w:p>
    <w:p>
      <w:pPr>
        <w:jc w:val="both"/>
        <w:ind w:left="640" w:right="659"/>
        <w:spacing w:after="0" w:line="244" w:lineRule="auto"/>
        <w:rPr>
          <w:sz w:val="20"/>
          <w:szCs w:val="20"/>
          <w:color w:val="auto"/>
        </w:rPr>
      </w:pPr>
      <w:r>
        <w:rPr>
          <w:rFonts w:ascii="Arial" w:cs="Arial" w:eastAsia="Arial" w:hAnsi="Arial"/>
          <w:sz w:val="14"/>
          <w:szCs w:val="14"/>
          <w:b w:val="1"/>
          <w:bCs w:val="1"/>
          <w:i w:val="1"/>
          <w:iCs w:val="1"/>
          <w:color w:val="auto"/>
        </w:rPr>
        <w:t xml:space="preserve">Voting rights </w:t>
      </w:r>
      <w:r>
        <w:rPr>
          <w:rFonts w:ascii="Arial" w:cs="Arial" w:eastAsia="Arial" w:hAnsi="Arial"/>
          <w:sz w:val="14"/>
          <w:szCs w:val="14"/>
          <w:color w:val="auto"/>
        </w:rPr>
        <w:t>– Holders of the Series A convertible preferred stock, Series A-1 convertible preferred stock, Series A-2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convertible preferred stock, Series B convertible preferred stock, Series C convertible preferred stock, Series C-1 convertible preferred stock and Series D convertible preferred stock are entitled to the number of votes equal to the number of shares of common stock into which such shares of convertible preferred stock held by such holder could be converted as of the relevant record date at all meetings of stockholders. The holders of convertible preferred stock generally vote together as a single class with holders of common stock except that, the holders of Series A convertible preferred stock, Series A-1 convertible preferred stock, Series A-2 convertible preferred stock voting together as a single class on an as converted basis are entitled to elect two directors, and the holders of Series D convertible preferred stock voting together as a single class on an as converted basis are entitled to elect one director. The remaining members of the Board of Directors are elected by the holders of convertible preferred stock and common stock, voting together as a single class on an as-converted basis.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0" w:name="page261"/>
    <w:bookmarkEnd w:id="26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 Holders of outstanding shares of Series A convertible preferred stock, Series A-1 convertible preferred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Series A-2 convertible preferred stock, Series B convertible preferred stock, Series C convertible preferred stock, Series C-1 convertible preferred stock and Series D convertible preferred stock are entitled to participate in any dividends payable to common stockholders on an as converted basis and have priority over the payment of dividends to holders of common stock. The holders are not contractually required to participate in losses of the Company.</w:t>
      </w:r>
    </w:p>
    <w:p>
      <w:pPr>
        <w:spacing w:after="0" w:line="139"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In the case of a dividend on common stock or any class of stock that is convertible into common stock, the dividend per share of convertible preferred stock would equal the product of (A) the dividend payable on each share of such class or series as if all shares of such class or series had been converted into common stock and (B) the number of shares of common stock issuable upon conversion of such share of convertible preferred stock. In the case of a dividend on any class or series that is not convertible into common stock, the dividend per share of convertible preferred stock would be determined by (A) dividing the amount of dividend payable on each share of such class or series of capital stock by the original issue price of such class or series and (B) multiplying such fraction by the original issue price of the applicable class of convertible preferred stock.</w:t>
      </w:r>
    </w:p>
    <w:p>
      <w:pPr>
        <w:spacing w:after="0" w:line="140" w:lineRule="exact"/>
        <w:rPr>
          <w:sz w:val="20"/>
          <w:szCs w:val="20"/>
          <w:color w:val="auto"/>
        </w:rPr>
      </w:pPr>
    </w:p>
    <w:p>
      <w:pPr>
        <w:jc w:val="both"/>
        <w:ind w:left="640" w:right="659"/>
        <w:spacing w:after="0" w:line="242" w:lineRule="auto"/>
        <w:rPr>
          <w:sz w:val="20"/>
          <w:szCs w:val="20"/>
          <w:color w:val="auto"/>
        </w:rPr>
      </w:pPr>
      <w:r>
        <w:rPr>
          <w:rFonts w:ascii="Arial" w:cs="Arial" w:eastAsia="Arial" w:hAnsi="Arial"/>
          <w:sz w:val="14"/>
          <w:szCs w:val="14"/>
          <w:b w:val="1"/>
          <w:bCs w:val="1"/>
          <w:i w:val="1"/>
          <w:iCs w:val="1"/>
          <w:color w:val="auto"/>
        </w:rPr>
        <w:t xml:space="preserve">Liquidation Amount </w:t>
      </w:r>
      <w:r>
        <w:rPr>
          <w:rFonts w:ascii="Arial" w:cs="Arial" w:eastAsia="Arial" w:hAnsi="Arial"/>
          <w:sz w:val="14"/>
          <w:szCs w:val="14"/>
          <w:color w:val="auto"/>
        </w:rPr>
        <w:t>– The Series D convertible preferred stock ranks, with respect to rights in the event of voluntary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involuntary liquidation, winding up, dissolution, and deemed liquidation events, senior and in priority of payment to (i) the Series A convertible preferred stock, Series A-1 convertible preferred stock, Series A-2 convertible preferred stock, Series B convertible preferred stock, Series C convertible preferred stock and Series C-1 convertible preferred stock and (ii) the common stock. After payment in full of the amounts owed to holders of Series D convertible preferred stock, the Series C convertible preferred stock and Series C-1 convertible preferred stock rank, with respect to rights in the event of voluntary or involuntary liquidation, winding up, dissolution, and deemed liquidation events, senior and in priority of payment to (i) the Series B convertible preferred stock, (ii) the Series A convertible preferred stock, Series A-1 convertible preferred stock, Series A-2 convertible preferred stock and (iii) the common stock. The Series C convertible preferred stock and Series C-1 convertible preferred stock rank on parity with each other. After payment in full of the amounts owed to holders of the Series C convertible preferred stock and Series C-1 convertible preferred stock, the Series B convertible preferred stock, with respect to distribution rights and rights on liquidation, winding-up and dissolution, rank senior and in priority of payment to (i) the Series A convertible preferred stock, Series A-1 convertible preferred stock, Series A-2 convertible preferred stock and (ii) the common stock. After payment in full of the amounts owed to holders of the Series B convertible preferred stock, Series C convertible preferred stock and Series C-1 convertible preferred stock, the Series A convertible preferred stock, Series A-1 convertible preferred stock, Series A-2 convertible preferred stock, with respect to distribution rights and rights on liquidation, winding-up and dissolution, rank (i) senior and in priority of payment to the common stock and (ii) on parity with each other. After the payment of the full liquidation preference of the convertible preferred stock, the remaining assets of the Company legally available for distribution, if any, will be distributed ratably to the holders of common stock.</w:t>
      </w:r>
    </w:p>
    <w:p>
      <w:pPr>
        <w:spacing w:after="0" w:line="298" w:lineRule="exact"/>
        <w:rPr>
          <w:sz w:val="20"/>
          <w:szCs w:val="20"/>
          <w:color w:val="auto"/>
        </w:rPr>
      </w:pPr>
    </w:p>
    <w:p>
      <w:pPr>
        <w:jc w:val="both"/>
        <w:ind w:left="640" w:right="639"/>
        <w:spacing w:after="0" w:line="243" w:lineRule="auto"/>
        <w:rPr>
          <w:sz w:val="20"/>
          <w:szCs w:val="20"/>
          <w:color w:val="auto"/>
        </w:rPr>
      </w:pPr>
      <w:r>
        <w:rPr>
          <w:rFonts w:ascii="Arial" w:cs="Arial" w:eastAsia="Arial" w:hAnsi="Arial"/>
          <w:sz w:val="14"/>
          <w:szCs w:val="14"/>
          <w:color w:val="auto"/>
        </w:rPr>
        <w:t>In the event of any voluntary or involuntary liquidation, dissolution or winding up of the corporation, or upon the occurrence of a deemed liquidation event, the holders of shares of (i) the Series D convertible preferred stock are entitled to payments in an amount equal the greater of (a) $1.50497 per share, plus dividends declared but unpaid and (b) the amount payable with respect to such share as if it was converted to common stock immediately prior to settlement, (ii) the Series C and Series C-1 convertible preferred stock are entitled to payments in an amount equal the greater of (a) $1.96714 per share and $2.02159 per share, respectively, plus dividends declared but unpaid and (b) the amount payable with respect to such share as if it was converted to common stock immediately prior to settlement, (iii) the Series B convertible preferred stock are entitled to payments in an amount equal the greater of (a) $2.48483 per share, plus dividends declared but unpaid and (b) the amount payable with respect to such share as if it was converted to common stock immediately prior to settlement, and (iv) the Series A, Series A-1 and Series A-2 convertible preferred stock are entitled to payments in an amount equal to the greater of (a) $ 1.70821 per share, $2.30608 per share and $2.42139 per share, respectively, plus dividends declared but unpaid and (b) the amount payable with respect to such share as if it was converted to common stock immediately prior to settlement.</w:t>
      </w:r>
    </w:p>
    <w:p>
      <w:pPr>
        <w:spacing w:after="0" w:line="147" w:lineRule="exact"/>
        <w:rPr>
          <w:sz w:val="20"/>
          <w:szCs w:val="20"/>
          <w:color w:val="auto"/>
        </w:rPr>
      </w:pPr>
    </w:p>
    <w:p>
      <w:pPr>
        <w:jc w:val="both"/>
        <w:ind w:left="640" w:right="639"/>
        <w:spacing w:after="0" w:line="244" w:lineRule="auto"/>
        <w:rPr>
          <w:sz w:val="20"/>
          <w:szCs w:val="20"/>
          <w:color w:val="auto"/>
        </w:rPr>
      </w:pPr>
      <w:r>
        <w:rPr>
          <w:rFonts w:ascii="Arial" w:cs="Arial" w:eastAsia="Arial" w:hAnsi="Arial"/>
          <w:sz w:val="14"/>
          <w:szCs w:val="14"/>
          <w:b w:val="1"/>
          <w:bCs w:val="1"/>
          <w:i w:val="1"/>
          <w:iCs w:val="1"/>
          <w:color w:val="auto"/>
        </w:rPr>
        <w:t xml:space="preserve">Conversion Option </w:t>
      </w:r>
      <w:r>
        <w:rPr>
          <w:rFonts w:ascii="Arial" w:cs="Arial" w:eastAsia="Arial" w:hAnsi="Arial"/>
          <w:sz w:val="14"/>
          <w:szCs w:val="14"/>
          <w:color w:val="auto"/>
        </w:rPr>
        <w:t>– Each share of the convertible preferred stock is convertible into shares of the Company’s common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 on a one-to-one basis, subject to appropriate adjustment in the event of any stock dividend, stock split or similar recapitalization, at the option of the stockholder and subject to adjustments in accordance with anti-dilution provisions and down round features. In addition, such shares will be converted automatically into shares of the Company’s common stock at then applicable conversion ratio upon the earlier of (i) a firm-commitment underwritten public offering pursuant to an effective registration statement under the Securities Act of 1933, as amended, on the New York Stock Exchange or Nasdaq Stock Market resulting in at least $100.0 million of gross proceeds, net of underwriting discounts and commissions, (ii) the completion by the Company of a business combination, merger, consolidation or share exchange with a special purpose acquisition company (“SPAC”) or its subsidiary in which the common stock of the surviving or parent entity is listed on New York Stock Exchange or Nasdaq Stock Market as of the consummation of such transaction, after taking into account 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1" w:name="page262"/>
    <w:bookmarkEnd w:id="26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39"/>
        <w:spacing w:after="0" w:line="254" w:lineRule="auto"/>
        <w:rPr>
          <w:sz w:val="20"/>
          <w:szCs w:val="20"/>
          <w:color w:val="auto"/>
        </w:rPr>
      </w:pPr>
      <w:r>
        <w:rPr>
          <w:rFonts w:ascii="Arial" w:cs="Arial" w:eastAsia="Arial" w:hAnsi="Arial"/>
          <w:sz w:val="14"/>
          <w:szCs w:val="14"/>
          <w:color w:val="auto"/>
        </w:rPr>
        <w:t>redemptions from the SPAC’s trust account, the surviving entity or parent entity receives at least $100.0 million of gross proceeds, net of the underwriting discount and commissions, from the sale of its equity securities, or (iii) the occurrence of an event specified by vote or written consent of the majority of the holders of the then outstanding shares of a specific class of convertible preferred stock, only with respect to that class of convertible preferred stock.</w:t>
      </w:r>
    </w:p>
    <w:p>
      <w:pPr>
        <w:spacing w:after="0" w:line="135" w:lineRule="exact"/>
        <w:rPr>
          <w:sz w:val="20"/>
          <w:szCs w:val="20"/>
          <w:color w:val="auto"/>
        </w:rPr>
      </w:pPr>
    </w:p>
    <w:p>
      <w:pPr>
        <w:ind w:left="1160" w:hanging="522"/>
        <w:spacing w:after="0"/>
        <w:tabs>
          <w:tab w:leader="none" w:pos="1160" w:val="left"/>
        </w:tabs>
        <w:numPr>
          <w:ilvl w:val="0"/>
          <w:numId w:val="116"/>
        </w:numPr>
        <w:rPr>
          <w:rFonts w:ascii="Arial" w:cs="Arial" w:eastAsia="Arial" w:hAnsi="Arial"/>
          <w:sz w:val="14"/>
          <w:szCs w:val="14"/>
          <w:b w:val="1"/>
          <w:bCs w:val="1"/>
          <w:color w:val="auto"/>
        </w:rPr>
      </w:pPr>
      <w:r>
        <w:rPr>
          <w:rFonts w:ascii="Arial" w:cs="Arial" w:eastAsia="Arial" w:hAnsi="Arial"/>
          <w:sz w:val="14"/>
          <w:szCs w:val="14"/>
          <w:b w:val="1"/>
          <w:bCs w:val="1"/>
          <w:color w:val="auto"/>
        </w:rPr>
        <w:t>Warrants</w:t>
      </w:r>
    </w:p>
    <w:p>
      <w:pPr>
        <w:spacing w:after="0" w:line="172" w:lineRule="exact"/>
        <w:rPr>
          <w:sz w:val="20"/>
          <w:szCs w:val="20"/>
          <w:color w:val="auto"/>
        </w:rPr>
      </w:pPr>
    </w:p>
    <w:p>
      <w:pPr>
        <w:jc w:val="both"/>
        <w:ind w:left="640" w:right="659"/>
        <w:spacing w:after="0" w:line="244" w:lineRule="auto"/>
        <w:rPr>
          <w:sz w:val="20"/>
          <w:szCs w:val="20"/>
          <w:color w:val="auto"/>
        </w:rPr>
      </w:pPr>
      <w:r>
        <w:rPr>
          <w:rFonts w:ascii="Arial" w:cs="Arial" w:eastAsia="Arial" w:hAnsi="Arial"/>
          <w:sz w:val="14"/>
          <w:szCs w:val="14"/>
          <w:color w:val="auto"/>
        </w:rPr>
        <w:t xml:space="preserve">In connection with entering into a loan and security agreement (“LSA”) with Pacific Western Bank in 2022, (acquired by Banc of California in November 2023), the Company issued a warrant to purchase 64,992 shares of the Company’s Series A-2 convertible preferred stock with an exercise price of $6.15 that was exercisable based on the proportion of amounts borrowed to the borrowing capacity (the “LSA Warrant”). At the LSA Warrant issuance date, the right of the holder to purchase 16,248 shares immediately vested and was exercisable. The right to purchase these shares expires ten years after the issuance date. The right to purchase the remaining 48,744 shares was forfeited upon termination of the LSA by the Company in April 2023. As of December 31, 2025, the right to purchase the 16,248 shares of Series A-2 convertible preferred stock was outstanding. The LSA Warrant requires liability classification under the guidance in ASC 480, </w:t>
      </w:r>
      <w:r>
        <w:rPr>
          <w:rFonts w:ascii="Arial" w:cs="Arial" w:eastAsia="Arial" w:hAnsi="Arial"/>
          <w:sz w:val="14"/>
          <w:szCs w:val="14"/>
          <w:i w:val="1"/>
          <w:iCs w:val="1"/>
          <w:color w:val="auto"/>
        </w:rPr>
        <w:t>Distinguishing Liabilities from Equity</w:t>
      </w:r>
      <w:r>
        <w:rPr>
          <w:rFonts w:ascii="Arial" w:cs="Arial" w:eastAsia="Arial" w:hAnsi="Arial"/>
          <w:sz w:val="14"/>
          <w:szCs w:val="14"/>
          <w:color w:val="auto"/>
        </w:rPr>
        <w:t>, as the Series A-2 convertible preferred stock underlying the LSA Warrant is redeemable outside of the control of the Company. The Company initially recorded the LSA Warrant at fair value and records changes in fair value at each reporting period (See Note 5).</w:t>
      </w:r>
    </w:p>
    <w:p>
      <w:pPr>
        <w:spacing w:after="0" w:line="143" w:lineRule="exact"/>
        <w:rPr>
          <w:sz w:val="20"/>
          <w:szCs w:val="20"/>
          <w:color w:val="auto"/>
        </w:rPr>
      </w:pPr>
    </w:p>
    <w:p>
      <w:pPr>
        <w:jc w:val="both"/>
        <w:ind w:left="640" w:right="639"/>
        <w:spacing w:after="0" w:line="165" w:lineRule="exact"/>
        <w:rPr>
          <w:sz w:val="20"/>
          <w:szCs w:val="20"/>
          <w:color w:val="auto"/>
        </w:rPr>
      </w:pPr>
      <w:r>
        <w:rPr>
          <w:rFonts w:ascii="Arial" w:cs="Arial" w:eastAsia="Arial" w:hAnsi="Arial"/>
          <w:sz w:val="14"/>
          <w:szCs w:val="14"/>
          <w:color w:val="auto"/>
        </w:rPr>
        <w:t>In connection with entering into the Series D Preferred Stock Purchase Agreement in 2025, the Company issued an aggregate amount of warrants to purchase 39,414,039 shares of the Company's common stock, each with an exercise price of $ 0.01 per share (the “Common Warrants”). The Common Warrants may be exercised at any time by the holder and have a seven-year contractual term from their respective dates of issuance. Upon an initial public offering or deemed liquidation event (each, a “Corporate Transaction”), the outstanding Common Warrants are subject to automatic net exercise and will become shares of the Company's common stock, effective immediately prior to the consummation of the Corporate Transaction. The Company determined that the Common Warrants are equity-classified, and recorded the amounts allocated to the Common Warrants within additional paid</w:t>
      </w:r>
      <w:r>
        <w:rPr>
          <w:rFonts w:ascii="MS PGothic" w:cs="MS PGothic" w:eastAsia="MS PGothic" w:hAnsi="MS PGothic"/>
          <w:sz w:val="14"/>
          <w:szCs w:val="14"/>
          <w:color w:val="auto"/>
        </w:rPr>
        <w:t>‑</w:t>
      </w:r>
      <w:r>
        <w:rPr>
          <w:rFonts w:ascii="Arial" w:cs="Arial" w:eastAsia="Arial" w:hAnsi="Arial"/>
          <w:sz w:val="14"/>
          <w:szCs w:val="14"/>
          <w:color w:val="auto"/>
        </w:rPr>
        <w:t>in capital on the consolidated balance sheets (See Note 11).</w:t>
      </w:r>
    </w:p>
    <w:p>
      <w:pPr>
        <w:spacing w:after="0" w:line="221"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During the year ended December 31, 2025, a total of 7,271,969 warrants were exercised, resulting in the issuance of 7,271,969 shares of common stock and aggregate proceeds of $73 thousand. As of December 31, 2025, 32,142,070 warrants remain issued and outstanding.</w:t>
      </w:r>
    </w:p>
    <w:p>
      <w:pPr>
        <w:spacing w:after="0" w:line="377" w:lineRule="exact"/>
        <w:rPr>
          <w:sz w:val="20"/>
          <w:szCs w:val="20"/>
          <w:color w:val="auto"/>
        </w:rPr>
      </w:pPr>
    </w:p>
    <w:p>
      <w:pPr>
        <w:ind w:left="1160" w:hanging="522"/>
        <w:spacing w:after="0"/>
        <w:tabs>
          <w:tab w:leader="none" w:pos="1160"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Stock Options</w:t>
      </w:r>
    </w:p>
    <w:p>
      <w:pPr>
        <w:spacing w:after="0" w:line="170"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In August 2021, the Company’s Board of Directors adopted the 2021 Equity Incentive Plan (the “2021 Plan”) which provides for the granting of stock appreciation rights, incentive stock options, restricted stock awards, other stock-based awards to eligible employees, officers, directors, consultants, and advisors. The stock options issued under the 2021 Plan expire not more than ten years from the grant date. The 2021 Plan was subsequently amended on various dates through September 2025 to increase the number of shares available for the issuance of awards to a total of 61,546,699. As of December 31, 2025, there were 9,258,555 shares of voting common stock available for future grant under the 2021 Plan.</w:t>
      </w:r>
    </w:p>
    <w:p>
      <w:pPr>
        <w:spacing w:after="0" w:line="140" w:lineRule="exact"/>
        <w:rPr>
          <w:sz w:val="20"/>
          <w:szCs w:val="20"/>
          <w:color w:val="auto"/>
        </w:rPr>
      </w:pPr>
    </w:p>
    <w:p>
      <w:pPr>
        <w:jc w:val="both"/>
        <w:ind w:left="640" w:right="659"/>
        <w:spacing w:after="0" w:line="167" w:lineRule="exact"/>
        <w:rPr>
          <w:sz w:val="20"/>
          <w:szCs w:val="20"/>
          <w:color w:val="auto"/>
        </w:rPr>
      </w:pPr>
      <w:r>
        <w:rPr>
          <w:rFonts w:ascii="Arial" w:cs="Arial" w:eastAsia="Arial" w:hAnsi="Arial"/>
          <w:sz w:val="14"/>
          <w:szCs w:val="14"/>
          <w:color w:val="auto"/>
        </w:rPr>
        <w:t>The stock options generally vest over four years, with 25% of the award vesting at a one-year cliff with the remaining portion vesting in equal installments over the remaining period. The stock options granted contain service</w:t>
      </w:r>
      <w:r>
        <w:rPr>
          <w:rFonts w:ascii="MS PGothic" w:cs="MS PGothic" w:eastAsia="MS PGothic" w:hAnsi="MS PGothic"/>
          <w:sz w:val="14"/>
          <w:szCs w:val="14"/>
          <w:color w:val="auto"/>
        </w:rPr>
        <w:t>‑</w:t>
      </w:r>
      <w:r>
        <w:rPr>
          <w:rFonts w:ascii="Arial" w:cs="Arial" w:eastAsia="Arial" w:hAnsi="Arial"/>
          <w:sz w:val="14"/>
          <w:szCs w:val="14"/>
          <w:color w:val="auto"/>
        </w:rPr>
        <w:t>based vesting conditions and certain stock options granted contain performance</w:t>
      </w:r>
      <w:r>
        <w:rPr>
          <w:rFonts w:ascii="MS PGothic" w:cs="MS PGothic" w:eastAsia="MS PGothic" w:hAnsi="MS PGothic"/>
          <w:sz w:val="14"/>
          <w:szCs w:val="14"/>
          <w:color w:val="auto"/>
        </w:rPr>
        <w:t>‑</w:t>
      </w:r>
      <w:r>
        <w:rPr>
          <w:rFonts w:ascii="Arial" w:cs="Arial" w:eastAsia="Arial" w:hAnsi="Arial"/>
          <w:sz w:val="14"/>
          <w:szCs w:val="14"/>
          <w:color w:val="auto"/>
        </w:rPr>
        <w:t>based vesting conditions. The service</w:t>
      </w:r>
      <w:r>
        <w:rPr>
          <w:rFonts w:ascii="MS PGothic" w:cs="MS PGothic" w:eastAsia="MS PGothic" w:hAnsi="MS PGothic"/>
          <w:sz w:val="14"/>
          <w:szCs w:val="14"/>
          <w:color w:val="auto"/>
        </w:rPr>
        <w:t>‑</w:t>
      </w:r>
      <w:r>
        <w:rPr>
          <w:rFonts w:ascii="Arial" w:cs="Arial" w:eastAsia="Arial" w:hAnsi="Arial"/>
          <w:sz w:val="14"/>
          <w:szCs w:val="14"/>
          <w:color w:val="auto"/>
        </w:rPr>
        <w:t>based component requires continued service with the Company over the requisite service period, while the performance</w:t>
      </w:r>
      <w:r>
        <w:rPr>
          <w:rFonts w:ascii="MS PGothic" w:cs="MS PGothic" w:eastAsia="MS PGothic" w:hAnsi="MS PGothic"/>
          <w:sz w:val="14"/>
          <w:szCs w:val="14"/>
          <w:color w:val="auto"/>
        </w:rPr>
        <w:t>‑</w:t>
      </w:r>
      <w:r>
        <w:rPr>
          <w:rFonts w:ascii="Arial" w:cs="Arial" w:eastAsia="Arial" w:hAnsi="Arial"/>
          <w:sz w:val="14"/>
          <w:szCs w:val="14"/>
          <w:color w:val="auto"/>
        </w:rPr>
        <w:t>based condition is tied to the achievement of a research and development milestone.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2" w:name="page263"/>
    <w:bookmarkEnd w:id="26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following table summarizes the Company’s stock option activity for the year ended December 31, 2025:</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b w:val="1"/>
                <w:bCs w:val="1"/>
                <w:color w:val="auto"/>
              </w:rPr>
              <w:t>Aggregate</w:t>
            </w: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28"/>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rPr>
              <w:t>Term (in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rPr>
              <w:t>Intrinsic</w:t>
            </w:r>
          </w:p>
        </w:tc>
      </w:tr>
      <w:tr>
        <w:trPr>
          <w:trHeight w:val="176"/>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Stock Options</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9"/>
              </w:rPr>
              <w:t>Price</w:t>
            </w:r>
          </w:p>
        </w:tc>
        <w:tc>
          <w:tcPr>
            <w:tcW w:w="80" w:type="dxa"/>
            <w:vAlign w:val="bottom"/>
          </w:tcPr>
          <w:p>
            <w:pPr>
              <w:spacing w:after="0"/>
              <w:rPr>
                <w:sz w:val="15"/>
                <w:szCs w:val="15"/>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Value</w:t>
            </w:r>
          </w:p>
        </w:tc>
      </w:tr>
      <w:tr>
        <w:trPr>
          <w:trHeight w:val="152"/>
        </w:trPr>
        <w:tc>
          <w:tcPr>
            <w:tcW w:w="20" w:type="dxa"/>
            <w:vAlign w:val="bottom"/>
          </w:tcPr>
          <w:p>
            <w:pPr>
              <w:spacing w:after="0"/>
              <w:rPr>
                <w:sz w:val="13"/>
                <w:szCs w:val="13"/>
                <w:color w:val="auto"/>
              </w:rPr>
            </w:pPr>
          </w:p>
        </w:tc>
        <w:tc>
          <w:tcPr>
            <w:tcW w:w="33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Outstanding as of January 1, 2025</w:t>
            </w:r>
          </w:p>
        </w:tc>
        <w:tc>
          <w:tcPr>
            <w:tcW w:w="108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22,516,125</w:t>
            </w:r>
          </w:p>
        </w:tc>
        <w:tc>
          <w:tcPr>
            <w:tcW w:w="18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2.70</w:t>
            </w:r>
          </w:p>
        </w:tc>
        <w:tc>
          <w:tcPr>
            <w:tcW w:w="1140" w:type="dxa"/>
            <w:vAlign w:val="bottom"/>
            <w:gridSpan w:val="2"/>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8.39</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13,443</w:t>
            </w:r>
          </w:p>
        </w:tc>
      </w:tr>
      <w:tr>
        <w:trPr>
          <w:trHeight w:val="161"/>
        </w:trPr>
        <w:tc>
          <w:tcPr>
            <w:tcW w:w="20" w:type="dxa"/>
            <w:vAlign w:val="bottom"/>
          </w:tcPr>
          <w:p>
            <w:pPr>
              <w:spacing w:after="0"/>
              <w:rPr>
                <w:sz w:val="14"/>
                <w:szCs w:val="14"/>
                <w:color w:val="auto"/>
              </w:rPr>
            </w:pPr>
          </w:p>
        </w:tc>
        <w:tc>
          <w:tcPr>
            <w:tcW w:w="33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30,914,255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0.43</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3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Forfeited</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(894,712)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300" w:type="dxa"/>
            <w:vAlign w:val="bottom"/>
          </w:tcPr>
          <w:p>
            <w:pPr>
              <w:ind w:left="180"/>
              <w:spacing w:after="0"/>
              <w:rPr>
                <w:sz w:val="20"/>
                <w:szCs w:val="20"/>
                <w:color w:val="auto"/>
              </w:rPr>
            </w:pPr>
            <w:r>
              <w:rPr>
                <w:rFonts w:ascii="Arial" w:cs="Arial" w:eastAsia="Arial" w:hAnsi="Arial"/>
                <w:sz w:val="14"/>
                <w:szCs w:val="14"/>
                <w:color w:val="auto"/>
              </w:rPr>
              <w:t>Expired</w:t>
            </w:r>
          </w:p>
        </w:tc>
        <w:tc>
          <w:tcPr>
            <w:tcW w:w="1080" w:type="dxa"/>
            <w:vAlign w:val="bottom"/>
          </w:tcPr>
          <w:p>
            <w:pPr>
              <w:jc w:val="right"/>
              <w:spacing w:after="0"/>
              <w:rPr>
                <w:sz w:val="20"/>
                <w:szCs w:val="20"/>
                <w:color w:val="auto"/>
              </w:rPr>
            </w:pPr>
            <w:r>
              <w:rPr>
                <w:rFonts w:ascii="Arial" w:cs="Arial" w:eastAsia="Arial" w:hAnsi="Arial"/>
                <w:sz w:val="14"/>
                <w:szCs w:val="14"/>
                <w:color w:val="auto"/>
              </w:rPr>
              <w:t>(569,043)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Exercised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(6,957,698)</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0.45</w:t>
            </w:r>
          </w:p>
        </w:tc>
        <w:tc>
          <w:tcPr>
            <w:tcW w:w="8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3300" w:type="dxa"/>
            <w:vAlign w:val="bottom"/>
          </w:tcPr>
          <w:p>
            <w:pPr>
              <w:spacing w:after="0" w:line="152" w:lineRule="exact"/>
              <w:rPr>
                <w:sz w:val="20"/>
                <w:szCs w:val="20"/>
                <w:color w:val="auto"/>
              </w:rPr>
            </w:pPr>
            <w:r>
              <w:rPr>
                <w:rFonts w:ascii="Arial" w:cs="Arial" w:eastAsia="Arial" w:hAnsi="Arial"/>
                <w:sz w:val="14"/>
                <w:szCs w:val="14"/>
                <w:color w:val="auto"/>
              </w:rPr>
              <w:t>Outstanding as of December 31, 2025</w:t>
            </w:r>
          </w:p>
        </w:tc>
        <w:tc>
          <w:tcPr>
            <w:tcW w:w="1080" w:type="dxa"/>
            <w:vAlign w:val="bottom"/>
            <w:tcBorders>
              <w:bottom w:val="single" w:sz="8" w:color="auto"/>
            </w:tcBorders>
          </w:tcPr>
          <w:p>
            <w:pPr>
              <w:jc w:val="right"/>
              <w:ind w:right="28"/>
              <w:spacing w:after="0" w:line="152" w:lineRule="exact"/>
              <w:rPr>
                <w:sz w:val="20"/>
                <w:szCs w:val="20"/>
                <w:color w:val="auto"/>
              </w:rPr>
            </w:pPr>
            <w:r>
              <w:rPr>
                <w:rFonts w:ascii="Arial" w:cs="Arial" w:eastAsia="Arial" w:hAnsi="Arial"/>
                <w:sz w:val="14"/>
                <w:szCs w:val="14"/>
                <w:color w:val="auto"/>
              </w:rPr>
              <w:t>45,008,927</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28"/>
              <w:spacing w:after="0" w:line="152" w:lineRule="exact"/>
              <w:rPr>
                <w:sz w:val="20"/>
                <w:szCs w:val="20"/>
                <w:color w:val="auto"/>
              </w:rPr>
            </w:pPr>
            <w:r>
              <w:rPr>
                <w:rFonts w:ascii="Arial" w:cs="Arial" w:eastAsia="Arial" w:hAnsi="Arial"/>
                <w:sz w:val="14"/>
                <w:szCs w:val="14"/>
                <w:color w:val="auto"/>
              </w:rPr>
              <w:t>0.51</w:t>
            </w: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ind w:right="28"/>
              <w:spacing w:after="0" w:line="152" w:lineRule="exact"/>
              <w:rPr>
                <w:sz w:val="20"/>
                <w:szCs w:val="20"/>
                <w:color w:val="auto"/>
              </w:rPr>
            </w:pPr>
            <w:r>
              <w:rPr>
                <w:rFonts w:ascii="Arial" w:cs="Arial" w:eastAsia="Arial" w:hAnsi="Arial"/>
                <w:sz w:val="14"/>
                <w:szCs w:val="14"/>
                <w:color w:val="auto"/>
              </w:rPr>
              <w:t>8.64</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line="152" w:lineRule="exact"/>
              <w:rPr>
                <w:sz w:val="20"/>
                <w:szCs w:val="20"/>
                <w:color w:val="auto"/>
              </w:rPr>
            </w:pPr>
            <w:r>
              <w:rPr>
                <w:rFonts w:ascii="Arial" w:cs="Arial" w:eastAsia="Arial" w:hAnsi="Arial"/>
                <w:sz w:val="14"/>
                <w:szCs w:val="14"/>
                <w:color w:val="auto"/>
              </w:rPr>
              <w:t>4,610</w:t>
            </w:r>
          </w:p>
        </w:tc>
      </w:tr>
      <w:tr>
        <w:trPr>
          <w:trHeight w:val="152"/>
        </w:trPr>
        <w:tc>
          <w:tcPr>
            <w:tcW w:w="20" w:type="dxa"/>
            <w:vAlign w:val="bottom"/>
          </w:tcPr>
          <w:p>
            <w:pPr>
              <w:spacing w:after="0"/>
              <w:rPr>
                <w:sz w:val="13"/>
                <w:szCs w:val="13"/>
                <w:color w:val="auto"/>
              </w:rPr>
            </w:pPr>
          </w:p>
        </w:tc>
        <w:tc>
          <w:tcPr>
            <w:tcW w:w="3300" w:type="dxa"/>
            <w:vAlign w:val="bottom"/>
            <w:tcBorders>
              <w:bottom w:val="single" w:sz="8" w:color="CFF0FC"/>
            </w:tcBorders>
            <w:shd w:val="clear" w:color="auto" w:fill="CFF0FC"/>
          </w:tcPr>
          <w:p>
            <w:pPr>
              <w:spacing w:after="0" w:line="152" w:lineRule="exact"/>
              <w:rPr>
                <w:sz w:val="20"/>
                <w:szCs w:val="20"/>
                <w:color w:val="auto"/>
              </w:rPr>
            </w:pPr>
            <w:r>
              <w:rPr>
                <w:rFonts w:ascii="Arial" w:cs="Arial" w:eastAsia="Arial" w:hAnsi="Arial"/>
                <w:sz w:val="14"/>
                <w:szCs w:val="14"/>
                <w:color w:val="auto"/>
              </w:rPr>
              <w:t>Exercisable as of December 31, 2025</w:t>
            </w:r>
          </w:p>
        </w:tc>
        <w:tc>
          <w:tcPr>
            <w:tcW w:w="1080" w:type="dxa"/>
            <w:vAlign w:val="bottom"/>
            <w:tcBorders>
              <w:bottom w:val="single" w:sz="8" w:color="auto"/>
            </w:tcBorders>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16,122,065</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0.66</w:t>
            </w:r>
          </w:p>
        </w:tc>
        <w:tc>
          <w:tcPr>
            <w:tcW w:w="8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7.30</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-224155</wp:posOffset>
            </wp:positionV>
            <wp:extent cx="4762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-224155</wp:posOffset>
            </wp:positionV>
            <wp:extent cx="4762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-224155</wp:posOffset>
            </wp:positionV>
            <wp:extent cx="4762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-6350</wp:posOffset>
            </wp:positionV>
            <wp:extent cx="4762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-6350</wp:posOffset>
            </wp:positionV>
            <wp:extent cx="4762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20"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In December 2025, 1,618,376 stock options to purchase shares of the Company’s common stock were early exercised pursuant to approval by the Company's Board of Directors. The unvested common stock purchased pursuant to the early exercise of stock options are not deemed, for accounting purposes, to be outstanding until those shares vest according to their respective terms. The Company received $0.7 million in cash proceeds related to the early exercise of stock options during the year ended December 31, 2025, which was recognized within additional paid-in capital.</w:t>
      </w:r>
    </w:p>
    <w:p>
      <w:pPr>
        <w:spacing w:after="0" w:line="139"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following table presents, on a weighted-average basis, the assumptions used in the Black Scholes option-pricing model to determine the grant date fair value of the stock options granted during the year ended:</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5"/>
                <w:szCs w:val="15"/>
                <w:color w:val="auto"/>
              </w:rPr>
            </w:pPr>
          </w:p>
        </w:tc>
      </w:tr>
      <w:tr>
        <w:trPr>
          <w:trHeight w:val="152"/>
        </w:trPr>
        <w:tc>
          <w:tcPr>
            <w:tcW w:w="3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8"/>
              <w:spacing w:after="0" w:line="152"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88"/>
              <w:spacing w:after="0" w:line="152" w:lineRule="exact"/>
              <w:rPr>
                <w:sz w:val="20"/>
                <w:szCs w:val="20"/>
                <w:color w:val="auto"/>
              </w:rPr>
            </w:pPr>
            <w:r>
              <w:rPr>
                <w:rFonts w:ascii="Arial" w:cs="Arial" w:eastAsia="Arial" w:hAnsi="Arial"/>
                <w:sz w:val="14"/>
                <w:szCs w:val="14"/>
                <w:b w:val="1"/>
                <w:bCs w:val="1"/>
                <w:color w:val="auto"/>
              </w:rPr>
              <w:t>2024</w:t>
            </w:r>
          </w:p>
        </w:tc>
      </w:tr>
      <w:tr>
        <w:trPr>
          <w:trHeight w:val="152"/>
        </w:trPr>
        <w:tc>
          <w:tcPr>
            <w:tcW w:w="32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Fair value of common stock</w:t>
            </w:r>
          </w:p>
        </w:tc>
        <w:tc>
          <w:tcPr>
            <w:tcW w:w="2360" w:type="dxa"/>
            <w:vAlign w:val="bottom"/>
            <w:gridSpan w:val="2"/>
            <w:shd w:val="clear" w:color="auto" w:fill="CFF0FC"/>
          </w:tcPr>
          <w:p>
            <w:pPr>
              <w:jc w:val="right"/>
              <w:ind w:right="768"/>
              <w:spacing w:after="0" w:line="152"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rPr>
              <w:t>0.43</w:t>
            </w:r>
          </w:p>
        </w:tc>
        <w:tc>
          <w:tcPr>
            <w:tcW w:w="560" w:type="dxa"/>
            <w:vAlign w:val="bottom"/>
            <w:gridSpan w:val="2"/>
            <w:shd w:val="clear" w:color="auto" w:fill="CFF0FC"/>
          </w:tcPr>
          <w:p>
            <w:pPr>
              <w:jc w:val="right"/>
              <w:ind w:right="360"/>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68"/>
              <w:spacing w:after="0" w:line="152" w:lineRule="exact"/>
              <w:rPr>
                <w:sz w:val="20"/>
                <w:szCs w:val="20"/>
                <w:color w:val="auto"/>
              </w:rPr>
            </w:pPr>
            <w:r>
              <w:rPr>
                <w:rFonts w:ascii="Arial" w:cs="Arial" w:eastAsia="Arial" w:hAnsi="Arial"/>
                <w:sz w:val="14"/>
                <w:szCs w:val="14"/>
                <w:color w:val="auto"/>
              </w:rPr>
              <w:t>2.69</w:t>
            </w:r>
          </w:p>
        </w:tc>
      </w:tr>
      <w:tr>
        <w:trPr>
          <w:trHeight w:val="161"/>
        </w:trPr>
        <w:tc>
          <w:tcPr>
            <w:tcW w:w="3200" w:type="dxa"/>
            <w:vAlign w:val="bottom"/>
          </w:tcPr>
          <w:p>
            <w:pPr>
              <w:spacing w:after="0"/>
              <w:rPr>
                <w:sz w:val="20"/>
                <w:szCs w:val="20"/>
                <w:color w:val="auto"/>
              </w:rPr>
            </w:pPr>
            <w:r>
              <w:rPr>
                <w:rFonts w:ascii="Arial" w:cs="Arial" w:eastAsia="Arial" w:hAnsi="Arial"/>
                <w:sz w:val="14"/>
                <w:szCs w:val="14"/>
                <w:color w:val="auto"/>
              </w:rPr>
              <w:t>Expected term (in years)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6.00</w:t>
            </w:r>
          </w:p>
        </w:tc>
      </w:tr>
      <w:tr>
        <w:trPr>
          <w:trHeight w:val="161"/>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Risk-free interest rate</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w:t>
            </w:r>
          </w:p>
        </w:tc>
      </w:tr>
      <w:tr>
        <w:trPr>
          <w:trHeight w:val="161"/>
        </w:trPr>
        <w:tc>
          <w:tcPr>
            <w:tcW w:w="3200" w:type="dxa"/>
            <w:vAlign w:val="bottom"/>
          </w:tcPr>
          <w:p>
            <w:pPr>
              <w:spacing w:after="0"/>
              <w:rPr>
                <w:sz w:val="20"/>
                <w:szCs w:val="20"/>
                <w:color w:val="auto"/>
              </w:rPr>
            </w:pPr>
            <w:r>
              <w:rPr>
                <w:rFonts w:ascii="Arial" w:cs="Arial" w:eastAsia="Arial" w:hAnsi="Arial"/>
                <w:sz w:val="14"/>
                <w:szCs w:val="14"/>
                <w:color w:val="auto"/>
              </w:rPr>
              <w:t>Expected volatility</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96.33%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93.67%</w:t>
            </w:r>
          </w:p>
        </w:tc>
      </w:tr>
      <w:tr>
        <w:trPr>
          <w:trHeight w:val="161"/>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Dividend yield</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-639445</wp:posOffset>
            </wp:positionV>
            <wp:extent cx="93345" cy="1416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93345" cy="141605"/>
                    </a:xfrm>
                    <a:prstGeom prst="rect">
                      <a:avLst/>
                    </a:prstGeom>
                    <a:noFill/>
                  </pic:spPr>
                </pic:pic>
              </a:graphicData>
            </a:graphic>
          </wp:anchor>
        </w:drawing>
      </w:r>
    </w:p>
    <w:p>
      <w:pPr>
        <w:spacing w:after="0" w:line="159"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The weighted average grant-date fair value of stock options granted during the years ended December 31, 2025 and 2024 was $0.33 and $2.12 per option, respectively. 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$0.1 million in each of the years ended December 31, 2025 and 2024.</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Stock Option Award Repricings</w:t>
      </w:r>
    </w:p>
    <w:p>
      <w:pPr>
        <w:spacing w:after="0" w:line="170" w:lineRule="exact"/>
        <w:rPr>
          <w:sz w:val="20"/>
          <w:szCs w:val="20"/>
          <w:color w:val="auto"/>
        </w:rPr>
      </w:pPr>
    </w:p>
    <w:p>
      <w:pPr>
        <w:jc w:val="both"/>
        <w:ind w:left="640" w:right="659"/>
        <w:spacing w:after="0" w:line="246" w:lineRule="auto"/>
        <w:rPr>
          <w:sz w:val="20"/>
          <w:szCs w:val="20"/>
          <w:color w:val="auto"/>
        </w:rPr>
      </w:pPr>
      <w:r>
        <w:rPr>
          <w:rFonts w:ascii="Arial" w:cs="Arial" w:eastAsia="Arial" w:hAnsi="Arial"/>
          <w:sz w:val="14"/>
          <w:szCs w:val="14"/>
          <w:color w:val="auto"/>
        </w:rPr>
        <w:t>On June 18, 2025, the Board of Directors approved a repricing of certain outstanding stock option awards granted under the 2021 Plan. The affected awards had exercise prices ranging from $ 2.37 to $ 3.30. The exercise price of the affected awards was reduced to $0.41, the estimated fair value of the Company's common stock on the modification date. No other changes were made to the terms and conditions of the eligible option awards. The repricing is accounted for as an equity-classified modification and impacted 18,728,961 stock option awards. The modification resulted in incremental stock-based compensation expense of $2.4 million, of which $1.5 million was recognized during the year ended December 31, 2025. The remaining $0.9 million is being recognized over the remaining requisite service period of approximately 2.38 years.</w:t>
      </w:r>
    </w:p>
    <w:p>
      <w:pPr>
        <w:spacing w:after="0" w:line="305"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On September 10, 2025, the Board of Directors approved a repricing of certain outstanding stock option awards granted under the 2021 Plan. The affected awards had exercise prices of $2.41 and $2.59. The exercise price of the affected awards was reduced to $0.43, the estimated fair value of the Company's common stock on the modification date. No other changes were made to the terms and conditions of the eligible option awards. The repricing is accounted for as an equity-classified modification and impacted 464,036 stock option awards. The modification resulted in incremental stock-based compensation expense of $0.1 million, which was recognized during the year ended December 31, 2025.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3" w:name="page264"/>
    <w:bookmarkEnd w:id="26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Restricted Stock</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27"/>
        </w:trPr>
        <w:tc>
          <w:tcPr>
            <w:tcW w:w="6480" w:type="dxa"/>
            <w:vAlign w:val="bottom"/>
            <w:gridSpan w:val="4"/>
          </w:tcPr>
          <w:p>
            <w:pPr>
              <w:spacing w:after="0"/>
              <w:rPr>
                <w:sz w:val="20"/>
                <w:szCs w:val="20"/>
                <w:color w:val="auto"/>
              </w:rPr>
            </w:pPr>
            <w:r>
              <w:rPr>
                <w:rFonts w:ascii="Arial" w:cs="Arial" w:eastAsia="Arial" w:hAnsi="Arial"/>
                <w:sz w:val="14"/>
                <w:szCs w:val="14"/>
                <w:color w:val="auto"/>
              </w:rPr>
              <w:t>The summary of restricted stock award activity for the year ended December 31, 2025, is as follows:</w:t>
            </w:r>
          </w:p>
        </w:tc>
        <w:tc>
          <w:tcPr>
            <w:tcW w:w="1260" w:type="dxa"/>
            <w:vAlign w:val="bottom"/>
          </w:tcPr>
          <w:p>
            <w:pPr>
              <w:spacing w:after="0"/>
              <w:rPr>
                <w:sz w:val="24"/>
                <w:szCs w:val="24"/>
                <w:color w:val="auto"/>
              </w:rPr>
            </w:pPr>
          </w:p>
        </w:tc>
      </w:tr>
      <w:tr>
        <w:trPr>
          <w:trHeight w:val="326"/>
        </w:trPr>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228"/>
              <w:spacing w:after="0"/>
              <w:rPr>
                <w:sz w:val="20"/>
                <w:szCs w:val="20"/>
                <w:color w:val="auto"/>
              </w:rPr>
            </w:pPr>
            <w:r>
              <w:rPr>
                <w:rFonts w:ascii="Arial" w:cs="Arial" w:eastAsia="Arial" w:hAnsi="Arial"/>
                <w:sz w:val="14"/>
                <w:szCs w:val="14"/>
                <w:b w:val="1"/>
                <w:bCs w:val="1"/>
                <w:color w:val="auto"/>
              </w:rPr>
              <w:t>Weighted</w:t>
            </w:r>
          </w:p>
        </w:tc>
      </w:tr>
      <w:tr>
        <w:trPr>
          <w:trHeight w:val="161"/>
        </w:trPr>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228"/>
              <w:spacing w:after="0"/>
              <w:rPr>
                <w:sz w:val="20"/>
                <w:szCs w:val="20"/>
                <w:color w:val="auto"/>
              </w:rPr>
            </w:pPr>
            <w:r>
              <w:rPr>
                <w:rFonts w:ascii="Arial" w:cs="Arial" w:eastAsia="Arial" w:hAnsi="Arial"/>
                <w:sz w:val="14"/>
                <w:szCs w:val="14"/>
                <w:b w:val="1"/>
                <w:bCs w:val="1"/>
                <w:color w:val="auto"/>
              </w:rPr>
              <w:t>Average</w:t>
            </w:r>
          </w:p>
        </w:tc>
      </w:tr>
      <w:tr>
        <w:trPr>
          <w:trHeight w:val="161"/>
        </w:trPr>
        <w:tc>
          <w:tcPr>
            <w:tcW w:w="468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228"/>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4680" w:type="dxa"/>
            <w:vAlign w:val="bottom"/>
          </w:tcPr>
          <w:p>
            <w:pPr>
              <w:spacing w:after="0"/>
              <w:rPr>
                <w:sz w:val="15"/>
                <w:szCs w:val="15"/>
                <w:color w:val="auto"/>
              </w:rPr>
            </w:pPr>
          </w:p>
        </w:tc>
        <w:tc>
          <w:tcPr>
            <w:tcW w:w="14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Fair Value</w:t>
            </w:r>
          </w:p>
        </w:tc>
      </w:tr>
      <w:tr>
        <w:trPr>
          <w:trHeight w:val="152"/>
        </w:trPr>
        <w:tc>
          <w:tcPr>
            <w:tcW w:w="468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Unvested as of January 1, 2025</w:t>
            </w:r>
          </w:p>
        </w:tc>
        <w:tc>
          <w:tcPr>
            <w:tcW w:w="14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310,506</w:t>
            </w:r>
          </w:p>
        </w:tc>
        <w:tc>
          <w:tcPr>
            <w:tcW w:w="320" w:type="dxa"/>
            <w:vAlign w:val="bottom"/>
            <w:gridSpan w:val="2"/>
            <w:shd w:val="clear" w:color="auto" w:fill="CFF0F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w:t>
            </w:r>
          </w:p>
        </w:tc>
      </w:tr>
      <w:tr>
        <w:trPr>
          <w:trHeight w:val="161"/>
        </w:trPr>
        <w:tc>
          <w:tcPr>
            <w:tcW w:w="4680" w:type="dxa"/>
            <w:vAlign w:val="bottom"/>
          </w:tcPr>
          <w:p>
            <w:pPr>
              <w:ind w:left="200"/>
              <w:spacing w:after="0"/>
              <w:rPr>
                <w:sz w:val="20"/>
                <w:szCs w:val="20"/>
                <w:color w:val="auto"/>
              </w:rPr>
            </w:pPr>
            <w:r>
              <w:rPr>
                <w:rFonts w:ascii="Arial" w:cs="Arial" w:eastAsia="Arial" w:hAnsi="Arial"/>
                <w:sz w:val="14"/>
                <w:szCs w:val="14"/>
                <w:color w:val="auto"/>
              </w:rPr>
              <w:t>Vested</w:t>
            </w:r>
          </w:p>
        </w:tc>
        <w:tc>
          <w:tcPr>
            <w:tcW w:w="1480" w:type="dxa"/>
            <w:vAlign w:val="bottom"/>
          </w:tcPr>
          <w:p>
            <w:pPr>
              <w:jc w:val="right"/>
              <w:spacing w:after="0"/>
              <w:rPr>
                <w:sz w:val="20"/>
                <w:szCs w:val="20"/>
                <w:color w:val="auto"/>
              </w:rPr>
            </w:pPr>
            <w:r>
              <w:rPr>
                <w:rFonts w:ascii="Arial" w:cs="Arial" w:eastAsia="Arial" w:hAnsi="Arial"/>
                <w:sz w:val="14"/>
                <w:szCs w:val="14"/>
                <w:color w:val="auto"/>
              </w:rPr>
              <w:t>(310,506)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1"/>
        </w:trPr>
        <w:tc>
          <w:tcPr>
            <w:tcW w:w="4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Early exercises of stock options</w:t>
            </w:r>
          </w:p>
        </w:tc>
        <w:tc>
          <w:tcPr>
            <w:tcW w:w="14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1,618,376</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0.33</w:t>
            </w:r>
          </w:p>
        </w:tc>
      </w:tr>
      <w:tr>
        <w:trPr>
          <w:trHeight w:val="152"/>
        </w:trPr>
        <w:tc>
          <w:tcPr>
            <w:tcW w:w="4680" w:type="dxa"/>
            <w:vAlign w:val="bottom"/>
          </w:tcPr>
          <w:p>
            <w:pPr>
              <w:spacing w:after="0" w:line="141" w:lineRule="exact"/>
              <w:rPr>
                <w:sz w:val="20"/>
                <w:szCs w:val="20"/>
                <w:color w:val="auto"/>
              </w:rPr>
            </w:pPr>
            <w:r>
              <w:rPr>
                <w:rFonts w:ascii="Arial" w:cs="Arial" w:eastAsia="Arial" w:hAnsi="Arial"/>
                <w:sz w:val="14"/>
                <w:szCs w:val="14"/>
                <w:color w:val="auto"/>
              </w:rPr>
              <w:t>Unvested as of December 31, 2025</w:t>
            </w:r>
          </w:p>
        </w:tc>
        <w:tc>
          <w:tcPr>
            <w:tcW w:w="1480" w:type="dxa"/>
            <w:vAlign w:val="bottom"/>
          </w:tcPr>
          <w:p>
            <w:pPr>
              <w:jc w:val="right"/>
              <w:ind w:right="8"/>
              <w:spacing w:after="0" w:line="141" w:lineRule="exact"/>
              <w:rPr>
                <w:sz w:val="20"/>
                <w:szCs w:val="20"/>
                <w:color w:val="auto"/>
              </w:rPr>
            </w:pPr>
            <w:r>
              <w:rPr>
                <w:rFonts w:ascii="Arial" w:cs="Arial" w:eastAsia="Arial" w:hAnsi="Arial"/>
                <w:sz w:val="14"/>
                <w:szCs w:val="14"/>
                <w:color w:val="auto"/>
              </w:rPr>
              <w:t>1,618,376</w:t>
            </w:r>
          </w:p>
        </w:tc>
        <w:tc>
          <w:tcPr>
            <w:tcW w:w="32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line="141" w:lineRule="exact"/>
              <w:rPr>
                <w:sz w:val="20"/>
                <w:szCs w:val="20"/>
                <w:color w:val="auto"/>
              </w:rPr>
            </w:pPr>
            <w:r>
              <w:rPr>
                <w:rFonts w:ascii="Arial" w:cs="Arial" w:eastAsia="Arial" w:hAnsi="Arial"/>
                <w:sz w:val="14"/>
                <w:szCs w:val="14"/>
                <w:color w:val="auto"/>
              </w:rPr>
              <w:t>0.33</w:t>
            </w:r>
          </w:p>
        </w:tc>
      </w:tr>
      <w:tr>
        <w:trPr>
          <w:trHeight w:val="20"/>
        </w:trPr>
        <w:tc>
          <w:tcPr>
            <w:tcW w:w="46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-128905</wp:posOffset>
            </wp:positionV>
            <wp:extent cx="6794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59" w:lineRule="exact"/>
        <w:rPr>
          <w:sz w:val="20"/>
          <w:szCs w:val="20"/>
          <w:color w:val="auto"/>
        </w:rPr>
      </w:pPr>
    </w:p>
    <w:p>
      <w:pPr>
        <w:jc w:val="both"/>
        <w:ind w:left="640" w:right="659"/>
        <w:spacing w:after="0" w:line="256" w:lineRule="auto"/>
        <w:rPr>
          <w:sz w:val="20"/>
          <w:szCs w:val="20"/>
          <w:color w:val="auto"/>
        </w:rPr>
      </w:pPr>
      <w:r>
        <w:rPr>
          <w:rFonts w:ascii="Arial" w:cs="Arial" w:eastAsia="Arial" w:hAnsi="Arial"/>
          <w:sz w:val="14"/>
          <w:szCs w:val="14"/>
          <w:color w:val="auto"/>
        </w:rPr>
        <w:t>The aggregate fair value of restricted stock awards vested during the years ended December 31, 2025 and 2024, was $1.0 million and $ 3.4 million, respectively. The Company recorded stock compensation expense of a de minimis amount and $0.5 million, related to the restricted stock awards during the years ended December 31, 2025 and 2024, respectively.</w:t>
      </w:r>
    </w:p>
    <w:p>
      <w:pPr>
        <w:spacing w:after="0" w:line="290"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following table summarizes unrecognized stock-based compensation expense as of December 31, 2025 by type of awards, and the weighted-average period over which that expense is expected to be recognized. The total unrecognized stock-based compensation expense will be adjusted for actual forfeitures as they occur.</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rPr>
              <w:t>Weighted</w:t>
            </w:r>
          </w:p>
        </w:tc>
      </w:t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rPr>
              <w:t>Recognition</w:t>
            </w:r>
          </w:p>
        </w:tc>
      </w:t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Unrecognized</w:t>
            </w:r>
          </w:p>
        </w:tc>
        <w:tc>
          <w:tcPr>
            <w:tcW w:w="80" w:type="dxa"/>
            <w:vAlign w:val="bottom"/>
          </w:tcPr>
          <w:p>
            <w:pPr>
              <w:spacing w:after="0"/>
              <w:rPr>
                <w:sz w:val="14"/>
                <w:szCs w:val="14"/>
                <w:color w:val="auto"/>
              </w:rPr>
            </w:pP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rPr>
              <w:t>Period</w:t>
            </w:r>
          </w:p>
        </w:tc>
      </w:tr>
      <w:tr>
        <w:trPr>
          <w:trHeight w:val="176"/>
        </w:trPr>
        <w:tc>
          <w:tcPr>
            <w:tcW w:w="4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5"/>
                <w:szCs w:val="15"/>
                <w:color w:val="auto"/>
              </w:rPr>
            </w:pPr>
          </w:p>
        </w:tc>
        <w:tc>
          <w:tcPr>
            <w:tcW w:w="1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 years)</w:t>
            </w:r>
          </w:p>
        </w:tc>
      </w:tr>
      <w:tr>
        <w:trPr>
          <w:trHeight w:val="152"/>
        </w:trPr>
        <w:tc>
          <w:tcPr>
            <w:tcW w:w="472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Stock options</w:t>
            </w:r>
          </w:p>
        </w:tc>
        <w:tc>
          <w:tcPr>
            <w:tcW w:w="1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24,779</w:t>
            </w:r>
          </w:p>
        </w:tc>
        <w:tc>
          <w:tcPr>
            <w:tcW w:w="1580" w:type="dxa"/>
            <w:vAlign w:val="bottom"/>
            <w:gridSpan w:val="2"/>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3.16</w:t>
            </w:r>
          </w:p>
        </w:tc>
      </w:tr>
      <w:tr>
        <w:trPr>
          <w:trHeight w:val="190"/>
        </w:trPr>
        <w:tc>
          <w:tcPr>
            <w:tcW w:w="4720" w:type="dxa"/>
            <w:vAlign w:val="bottom"/>
          </w:tcPr>
          <w:p>
            <w:pPr>
              <w:spacing w:after="0"/>
              <w:rPr>
                <w:sz w:val="20"/>
                <w:szCs w:val="20"/>
                <w:color w:val="auto"/>
              </w:rPr>
            </w:pPr>
            <w:r>
              <w:rPr>
                <w:rFonts w:ascii="Arial" w:cs="Arial" w:eastAsia="Arial" w:hAnsi="Arial"/>
                <w:sz w:val="14"/>
                <w:szCs w:val="14"/>
                <w:color w:val="auto"/>
              </w:rPr>
              <w:t>Restricted stock awards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580" w:type="dxa"/>
            <w:vAlign w:val="bottom"/>
            <w:gridSpan w:val="2"/>
          </w:tcPr>
          <w:p>
            <w:pPr>
              <w:jc w:val="right"/>
              <w:ind w:right="28"/>
              <w:spacing w:after="0"/>
              <w:rPr>
                <w:sz w:val="20"/>
                <w:szCs w:val="20"/>
                <w:color w:val="auto"/>
              </w:rPr>
            </w:pPr>
            <w:r>
              <w:rPr>
                <w:rFonts w:ascii="Arial" w:cs="Arial" w:eastAsia="Arial" w:hAnsi="Arial"/>
                <w:sz w:val="14"/>
                <w:szCs w:val="14"/>
                <w:color w:val="auto"/>
              </w:rPr>
              <w:t>3.19</w:t>
            </w:r>
          </w:p>
        </w:tc>
      </w:tr>
    </w:tbl>
    <w:p>
      <w:pPr>
        <w:spacing w:after="0" w:line="150"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following table summarizes stock-based compensation expense included in operating expenses for the periods presented:</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r>
      <w:tr>
        <w:trPr>
          <w:trHeight w:val="152"/>
        </w:trPr>
        <w:tc>
          <w:tcPr>
            <w:tcW w:w="47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28"/>
              <w:spacing w:after="0" w:line="152"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r>
      <w:tr>
        <w:trPr>
          <w:trHeight w:val="152"/>
        </w:trPr>
        <w:tc>
          <w:tcPr>
            <w:tcW w:w="472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Research and development</w:t>
            </w:r>
          </w:p>
        </w:tc>
        <w:tc>
          <w:tcPr>
            <w:tcW w:w="900" w:type="dxa"/>
            <w:vAlign w:val="bottom"/>
            <w:shd w:val="clear" w:color="auto" w:fill="CFF0FC"/>
          </w:tcPr>
          <w:p>
            <w:pPr>
              <w:jc w:val="right"/>
              <w:ind w:right="748"/>
              <w:spacing w:after="0" w:line="15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3,898</w:t>
            </w:r>
          </w:p>
        </w:tc>
        <w:tc>
          <w:tcPr>
            <w:tcW w:w="1040" w:type="dxa"/>
            <w:vAlign w:val="bottom"/>
            <w:gridSpan w:val="2"/>
            <w:shd w:val="clear" w:color="auto" w:fill="CFF0FC"/>
          </w:tcPr>
          <w:p>
            <w:pPr>
              <w:jc w:val="right"/>
              <w:ind w:right="788"/>
              <w:spacing w:after="0" w:line="152"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3,917</w:t>
            </w:r>
          </w:p>
        </w:tc>
      </w:tr>
      <w:tr>
        <w:trPr>
          <w:trHeight w:val="161"/>
        </w:trPr>
        <w:tc>
          <w:tcPr>
            <w:tcW w:w="47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10,424</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4,769</w:t>
            </w:r>
          </w:p>
        </w:tc>
      </w:tr>
      <w:tr>
        <w:trPr>
          <w:trHeight w:val="192"/>
        </w:trPr>
        <w:tc>
          <w:tcPr>
            <w:tcW w:w="472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FF0FC"/>
          </w:tcPr>
          <w:p>
            <w:pPr>
              <w:jc w:val="right"/>
              <w:ind w:right="748"/>
              <w:spacing w:after="0" w:line="141"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ind w:right="8"/>
              <w:spacing w:after="0" w:line="141" w:lineRule="exact"/>
              <w:rPr>
                <w:sz w:val="20"/>
                <w:szCs w:val="20"/>
                <w:color w:val="auto"/>
              </w:rPr>
            </w:pPr>
            <w:r>
              <w:rPr>
                <w:rFonts w:ascii="Arial" w:cs="Arial" w:eastAsia="Arial" w:hAnsi="Arial"/>
                <w:sz w:val="14"/>
                <w:szCs w:val="14"/>
                <w:color w:val="auto"/>
              </w:rPr>
              <w:t>14,322</w:t>
            </w: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788"/>
              <w:spacing w:after="0" w:line="14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ind w:right="8"/>
              <w:spacing w:after="0" w:line="141" w:lineRule="exact"/>
              <w:rPr>
                <w:sz w:val="20"/>
                <w:szCs w:val="20"/>
                <w:color w:val="auto"/>
              </w:rPr>
            </w:pPr>
            <w:r>
              <w:rPr>
                <w:rFonts w:ascii="Arial" w:cs="Arial" w:eastAsia="Arial" w:hAnsi="Arial"/>
                <w:sz w:val="14"/>
                <w:szCs w:val="14"/>
                <w:color w:val="auto"/>
              </w:rPr>
              <w:t>8,686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-19685</wp:posOffset>
            </wp:positionV>
            <wp:extent cx="6794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-6350</wp:posOffset>
            </wp:positionV>
            <wp:extent cx="6794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59" w:lineRule="exact"/>
        <w:rPr>
          <w:sz w:val="20"/>
          <w:szCs w:val="20"/>
          <w:color w:val="auto"/>
        </w:rPr>
      </w:pPr>
    </w:p>
    <w:p>
      <w:pPr>
        <w:ind w:left="1160" w:hanging="522"/>
        <w:spacing w:after="0"/>
        <w:tabs>
          <w:tab w:leader="none" w:pos="1160"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Contingent Consideration</w:t>
      </w:r>
    </w:p>
    <w:p>
      <w:pPr>
        <w:spacing w:after="0" w:line="170"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In connection with the IFM acquisition, the Company is required to make future payments to the shareholders of IFM based on the occurrence of certain development, commercial, regulatory and sales milestones (see Note 5).</w:t>
      </w:r>
    </w:p>
    <w:p>
      <w:pPr>
        <w:spacing w:after="0" w:line="116"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In connection with the Rahko acquisition, the Company has a contingent payment obligation to the shareholders of Rahko upon the occurrence of certain qualifying events. No qualifying event has occurred as of December 31, 2025 (see Note 5).</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70"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The Company is not currently a party to any material legal proceedings. At each reporting date, the Company evaluates whether a potential loss or a potential range of loss is probable and reasonably estimable under the provisions of the authoritative guidance that addresses accounting for contingencies. The Company expenses the costs related to its legal proceedings as incurred.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4" w:name="page265"/>
    <w:bookmarkEnd w:id="26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hanging="522"/>
        <w:spacing w:after="0"/>
        <w:tabs>
          <w:tab w:leader="none" w:pos="116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401(k) Savings Plan</w:t>
      </w:r>
    </w:p>
    <w:p>
      <w:pPr>
        <w:spacing w:after="0" w:line="172"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200" w:type="dxa"/>
            <w:vAlign w:val="bottom"/>
            <w:gridSpan w:val="2"/>
          </w:tcPr>
          <w:p>
            <w:pPr>
              <w:spacing w:after="0"/>
              <w:rPr>
                <w:sz w:val="20"/>
                <w:szCs w:val="20"/>
                <w:color w:val="auto"/>
              </w:rPr>
            </w:pPr>
            <w:r>
              <w:rPr>
                <w:rFonts w:ascii="Arial" w:cs="Arial" w:eastAsia="Arial" w:hAnsi="Arial"/>
                <w:sz w:val="14"/>
                <w:szCs w:val="14"/>
                <w:b w:val="1"/>
                <w:bCs w:val="1"/>
                <w:color w:val="auto"/>
                <w:w w:val="92"/>
              </w:rPr>
              <w:t>16.</w:t>
            </w:r>
          </w:p>
        </w:tc>
        <w:tc>
          <w:tcPr>
            <w:tcW w:w="5340" w:type="dxa"/>
            <w:vAlign w:val="bottom"/>
          </w:tcPr>
          <w:p>
            <w:pPr>
              <w:ind w:left="320"/>
              <w:spacing w:after="0"/>
              <w:rPr>
                <w:sz w:val="20"/>
                <w:szCs w:val="20"/>
                <w:color w:val="auto"/>
              </w:rPr>
            </w:pPr>
            <w:r>
              <w:rPr>
                <w:rFonts w:ascii="Arial" w:cs="Arial" w:eastAsia="Arial" w:hAnsi="Arial"/>
                <w:sz w:val="14"/>
                <w:szCs w:val="14"/>
                <w:b w:val="1"/>
                <w:bCs w:val="1"/>
                <w:color w:val="auto"/>
              </w:rPr>
              <w:t>Income Taxes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5540" w:type="dxa"/>
            <w:vAlign w:val="bottom"/>
            <w:gridSpan w:val="3"/>
          </w:tcPr>
          <w:p>
            <w:pPr>
              <w:spacing w:after="0"/>
              <w:rPr>
                <w:sz w:val="20"/>
                <w:szCs w:val="20"/>
                <w:color w:val="auto"/>
              </w:rPr>
            </w:pPr>
            <w:r>
              <w:rPr>
                <w:rFonts w:ascii="Arial" w:cs="Arial" w:eastAsia="Arial" w:hAnsi="Arial"/>
                <w:sz w:val="14"/>
                <w:szCs w:val="14"/>
                <w:color w:val="auto"/>
              </w:rPr>
              <w:t>The following table presents the components of loss before income taxes: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Domestic</w:t>
            </w: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(144,253)</w:t>
            </w:r>
          </w:p>
        </w:tc>
        <w:tc>
          <w:tcPr>
            <w:tcW w:w="300" w:type="dxa"/>
            <w:vAlign w:val="bottom"/>
            <w:gridSpan w:val="2"/>
            <w:shd w:val="clear" w:color="auto" w:fill="CFF0FC"/>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(129,615)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Arial" w:cs="Arial" w:eastAsia="Arial" w:hAnsi="Arial"/>
                <w:sz w:val="14"/>
                <w:szCs w:val="14"/>
                <w:color w:val="auto"/>
              </w:rPr>
              <w:t>Foreign</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(5,321)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52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Loss before income taxes</w:t>
            </w: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(149,574)</w:t>
            </w:r>
          </w:p>
        </w:tc>
        <w:tc>
          <w:tcPr>
            <w:tcW w:w="300" w:type="dxa"/>
            <w:vAlign w:val="bottom"/>
            <w:gridSpan w:val="2"/>
            <w:shd w:val="clear" w:color="auto" w:fill="CFF0FC"/>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(128,852)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540" w:type="dxa"/>
            <w:vAlign w:val="bottom"/>
            <w:gridSpan w:val="3"/>
          </w:tcPr>
          <w:p>
            <w:pPr>
              <w:spacing w:after="0"/>
              <w:rPr>
                <w:sz w:val="20"/>
                <w:szCs w:val="20"/>
                <w:color w:val="auto"/>
              </w:rPr>
            </w:pPr>
            <w:r>
              <w:rPr>
                <w:rFonts w:ascii="Arial" w:cs="Arial" w:eastAsia="Arial" w:hAnsi="Arial"/>
                <w:sz w:val="14"/>
                <w:szCs w:val="14"/>
                <w:color w:val="auto"/>
              </w:rPr>
              <w:t>The income tax provision is as follows: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Current income tax provision:</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U.S. state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4"/>
                <w:szCs w:val="14"/>
                <w:color w:val="auto"/>
              </w:rPr>
              <w:t>Foreign</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Arial" w:cs="Arial" w:eastAsia="Arial" w:hAnsi="Arial"/>
                <w:sz w:val="14"/>
                <w:szCs w:val="14"/>
                <w:color w:val="auto"/>
              </w:rPr>
              <w:t>Deferred income tax provision: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4"/>
                <w:szCs w:val="14"/>
                <w:color w:val="auto"/>
              </w:rPr>
              <w:t>Foreign</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520" w:type="dxa"/>
            <w:vAlign w:val="bottom"/>
            <w:gridSpan w:val="2"/>
          </w:tcPr>
          <w:p>
            <w:pPr>
              <w:spacing w:after="0" w:line="152" w:lineRule="exact"/>
              <w:rPr>
                <w:sz w:val="20"/>
                <w:szCs w:val="20"/>
                <w:color w:val="auto"/>
              </w:rPr>
            </w:pPr>
            <w:r>
              <w:rPr>
                <w:rFonts w:ascii="Arial" w:cs="Arial" w:eastAsia="Arial" w:hAnsi="Arial"/>
                <w:sz w:val="14"/>
                <w:szCs w:val="14"/>
                <w:color w:val="auto"/>
              </w:rPr>
              <w:t>Income tax provision</w:t>
            </w:r>
          </w:p>
        </w:tc>
        <w:tc>
          <w:tcPr>
            <w:tcW w:w="120" w:type="dxa"/>
            <w:vAlign w:val="bottom"/>
          </w:tcPr>
          <w:p>
            <w:pPr>
              <w:jc w:val="right"/>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(927)</w:t>
            </w:r>
          </w:p>
        </w:tc>
        <w:tc>
          <w:tcPr>
            <w:tcW w:w="300" w:type="dxa"/>
            <w:vAlign w:val="bottom"/>
            <w:gridSpan w:val="2"/>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2" w:lineRule="exact"/>
              <w:rPr>
                <w:sz w:val="20"/>
                <w:szCs w:val="20"/>
                <w:color w:val="auto"/>
              </w:rPr>
            </w:pPr>
            <w:r>
              <w:rPr>
                <w:rFonts w:ascii="Arial" w:cs="Arial" w:eastAsia="Arial" w:hAnsi="Arial"/>
                <w:sz w:val="14"/>
                <w:szCs w:val="14"/>
                <w:color w:val="auto"/>
              </w:rPr>
              <w:t>469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-1158875</wp:posOffset>
            </wp:positionV>
            <wp:extent cx="4762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-1158875</wp:posOffset>
            </wp:positionV>
            <wp:extent cx="4762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-115570</wp:posOffset>
            </wp:positionV>
            <wp:extent cx="4762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-115570</wp:posOffset>
            </wp:positionV>
            <wp:extent cx="4762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6" w:lineRule="exact"/>
        <w:rPr>
          <w:sz w:val="20"/>
          <w:szCs w:val="20"/>
          <w:color w:val="auto"/>
        </w:rPr>
      </w:pPr>
    </w:p>
    <w:p>
      <w:pPr>
        <w:jc w:val="both"/>
        <w:ind w:left="640" w:right="659"/>
        <w:spacing w:after="0" w:line="244" w:lineRule="auto"/>
        <w:rPr>
          <w:sz w:val="20"/>
          <w:szCs w:val="20"/>
          <w:color w:val="auto"/>
        </w:rPr>
      </w:pPr>
      <w:r>
        <w:rPr>
          <w:rFonts w:ascii="Arial" w:cs="Arial" w:eastAsia="Arial" w:hAnsi="Arial"/>
          <w:sz w:val="14"/>
          <w:szCs w:val="14"/>
          <w:color w:val="auto"/>
        </w:rPr>
        <w:t>The Company is subject to taxation in the U.S and in various state, local and foreign jurisdictions. The Company’s tax returns for years 2022 through present are open to tax examinations by U.S. federal, state, local and foreign tax authorities. For federal, state, local and foreign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 is recorded when it is more likely than not that some portion or all of the deferred tax assets will not be realized. As of December 31, 2025 and 2024, the Company performed an evaluation to determine whether a valuation allowance was needed. The Company considered all available evidence, both positive and negative, which included the results of operations for the current and preceding years. The Company determined that it was more likely than not that the deferred tax assets in the U.S., U.K., Germany and Australia will not be realized. Accordingly, the Company recorded a valuation allowance of $158.7 million and $122.5 million as of December 31, 2025 and 2024, respectively.</w:t>
      </w:r>
    </w:p>
    <w:p>
      <w:pPr>
        <w:spacing w:after="0" w:line="304"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The tax positions taken or expected to be taken in the course of preparing the Company tax returns are required to be evaluated to determine whether the tax positions are “more-likely-than-not” of being sustained by the applicable tax authority. Tax positions not deemed to meet a more-likely-than-not threshold would be recorded as a tax expense in the current year. There were no uncertain tax positions that require accrual or disclosure in the consolidated financial statements as of December 31, 2025 and 2024.</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5" w:name="page266"/>
    <w:bookmarkEnd w:id="26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A reconciliation of income tax expense computed at the statutory federal income tax rate and statutory federal income tax rate to the income tax provision included in the accompanying consolidated statements of operations and comprehensive loss for the Company and effective income tax rate is as follows: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52"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
              <w:spacing w:after="0" w:line="152" w:lineRule="exact"/>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2"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ind w:left="20"/>
              <w:spacing w:after="0" w:line="152"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80"/>
              <w:spacing w:after="0" w:line="152" w:lineRule="exact"/>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line="152"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6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Income tax expense (benefit) at the statutory federal income tax</w:t>
            </w:r>
          </w:p>
        </w:tc>
        <w:tc>
          <w:tcPr>
            <w:tcW w:w="12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rate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(31,410)</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(27,059)</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State and local income taxes, net of federal income tax effect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Foreign Tax Effects</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ind w:left="180"/>
              <w:spacing w:after="0"/>
              <w:rPr>
                <w:sz w:val="20"/>
                <w:szCs w:val="20"/>
                <w:color w:val="auto"/>
              </w:rPr>
            </w:pPr>
            <w:r>
              <w:rPr>
                <w:rFonts w:ascii="Arial" w:cs="Arial" w:eastAsia="Arial" w:hAnsi="Arial"/>
                <w:sz w:val="14"/>
                <w:szCs w:val="14"/>
                <w:color w:val="auto"/>
              </w:rPr>
              <w:t>Germany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valuation allowances</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1,644</w:t>
            </w:r>
          </w:p>
        </w:tc>
        <w:tc>
          <w:tcPr>
            <w:tcW w:w="120" w:type="dxa"/>
            <w:vAlign w:val="bottom"/>
            <w:tcBorders>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ind w:left="380"/>
              <w:spacing w:after="0"/>
              <w:rPr>
                <w:sz w:val="20"/>
                <w:szCs w:val="20"/>
                <w:color w:val="auto"/>
              </w:rPr>
            </w:pPr>
            <w:r>
              <w:rPr>
                <w:rFonts w:ascii="Arial" w:cs="Arial" w:eastAsia="Arial" w:hAnsi="Arial"/>
                <w:sz w:val="14"/>
                <w:szCs w:val="14"/>
                <w:color w:val="auto"/>
              </w:rPr>
              <w:t>Other items</w:t>
            </w: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(1,376)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Other foreign jurisdictions</w:t>
            </w: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righ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Changes in valuation allowances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32,857</w:t>
            </w: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30,644</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Nontaxable or nondeductible items</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974</w:t>
            </w:r>
          </w:p>
        </w:tc>
        <w:tc>
          <w:tcPr>
            <w:tcW w:w="120" w:type="dxa"/>
            <w:vAlign w:val="bottom"/>
            <w:tcBorders>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1,143</w:t>
            </w:r>
          </w:p>
        </w:tc>
        <w:tc>
          <w:tcPr>
            <w:tcW w:w="140" w:type="dxa"/>
            <w:vAlign w:val="bottom"/>
            <w:tcBorders>
              <w:righ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Tax credits</w:t>
            </w: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(3,724)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(4,716)</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Other adjustments</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Borders>
              <w:right w:val="single" w:sz="8" w:color="CFF0FC"/>
            </w:tcBorders>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60" w:type="dxa"/>
            <w:vAlign w:val="bottom"/>
          </w:tcPr>
          <w:p>
            <w:pPr>
              <w:spacing w:after="0" w:line="152" w:lineRule="exact"/>
              <w:rPr>
                <w:sz w:val="20"/>
                <w:szCs w:val="20"/>
                <w:color w:val="auto"/>
              </w:rPr>
            </w:pPr>
            <w:r>
              <w:rPr>
                <w:rFonts w:ascii="Arial" w:cs="Arial" w:eastAsia="Arial" w:hAnsi="Arial"/>
                <w:sz w:val="14"/>
                <w:szCs w:val="14"/>
                <w:color w:val="auto"/>
              </w:rPr>
              <w:t>Effective income tax rate</w:t>
            </w:r>
          </w:p>
        </w:tc>
        <w:tc>
          <w:tcPr>
            <w:tcW w:w="120" w:type="dxa"/>
            <w:vAlign w:val="bottom"/>
          </w:tcPr>
          <w:p>
            <w:pPr>
              <w:jc w:val="right"/>
              <w:spacing w:after="0" w:line="152"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(927)</w:t>
            </w:r>
          </w:p>
        </w:tc>
        <w:tc>
          <w:tcPr>
            <w:tcW w:w="8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0.6%</w:t>
            </w:r>
          </w:p>
        </w:tc>
        <w:tc>
          <w:tcPr>
            <w:tcW w:w="1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2" w:lineRule="exact"/>
              <w:rPr>
                <w:sz w:val="20"/>
                <w:szCs w:val="20"/>
                <w:color w:val="auto"/>
              </w:rPr>
            </w:pPr>
            <w:r>
              <w:rPr>
                <w:rFonts w:ascii="Arial" w:cs="Arial" w:eastAsia="Arial" w:hAnsi="Arial"/>
                <w:sz w:val="14"/>
                <w:szCs w:val="14"/>
                <w:color w:val="auto"/>
              </w:rPr>
              <w:t>469</w:t>
            </w:r>
          </w:p>
        </w:tc>
        <w:tc>
          <w:tcPr>
            <w:tcW w:w="140" w:type="dxa"/>
            <w:vAlign w:val="bottom"/>
          </w:tcPr>
          <w:p>
            <w:pPr>
              <w:spacing w:after="0"/>
              <w:rPr>
                <w:sz w:val="13"/>
                <w:szCs w:val="13"/>
                <w:color w:val="auto"/>
              </w:rPr>
            </w:pPr>
          </w:p>
        </w:tc>
        <w:tc>
          <w:tcPr>
            <w:tcW w:w="800" w:type="dxa"/>
            <w:vAlign w:val="bottom"/>
            <w:gridSpan w:val="2"/>
          </w:tcPr>
          <w:p>
            <w:pPr>
              <w:jc w:val="right"/>
              <w:ind w:right="20"/>
              <w:spacing w:after="0" w:line="152"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-115570</wp:posOffset>
            </wp:positionV>
            <wp:extent cx="4762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-115570</wp:posOffset>
            </wp:positionV>
            <wp:extent cx="12255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-115570</wp:posOffset>
            </wp:positionV>
            <wp:extent cx="4762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-115570</wp:posOffset>
            </wp:positionV>
            <wp:extent cx="12255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2555" cy="6985"/>
                    </a:xfrm>
                    <a:prstGeom prst="rect">
                      <a:avLst/>
                    </a:prstGeom>
                    <a:noFill/>
                  </pic:spPr>
                </pic:pic>
              </a:graphicData>
            </a:graphic>
          </wp:anchor>
        </w:drawing>
      </w:r>
    </w:p>
    <w:p>
      <w:pPr>
        <w:spacing w:after="0" w:line="126"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effective income tax rate differs from the U.S. federal statutory rate of 21.0% primarily due to the valuation allowance maintained against the Company’s net deferred tax assets.</w:t>
      </w:r>
    </w:p>
    <w:p>
      <w:pPr>
        <w:spacing w:after="0" w:line="105"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5540" w:type="dxa"/>
            <w:vAlign w:val="bottom"/>
          </w:tcPr>
          <w:p>
            <w:pPr>
              <w:spacing w:after="0"/>
              <w:rPr>
                <w:sz w:val="20"/>
                <w:szCs w:val="20"/>
                <w:color w:val="auto"/>
              </w:rPr>
            </w:pPr>
            <w:r>
              <w:rPr>
                <w:rFonts w:ascii="Arial" w:cs="Arial" w:eastAsia="Arial" w:hAnsi="Arial"/>
                <w:sz w:val="14"/>
                <w:szCs w:val="14"/>
                <w:color w:val="auto"/>
              </w:rPr>
              <w:t>The amounts of income tax payments, net of refunds, were as follows:</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19"/>
        </w:trPr>
        <w:tc>
          <w:tcPr>
            <w:tcW w:w="5540" w:type="dxa"/>
            <w:vAlign w:val="bottom"/>
          </w:tcPr>
          <w:p>
            <w:pPr>
              <w:spacing w:after="0"/>
              <w:rPr>
                <w:sz w:val="24"/>
                <w:szCs w:val="24"/>
                <w:color w:val="auto"/>
              </w:rPr>
            </w:pPr>
          </w:p>
        </w:tc>
        <w:tc>
          <w:tcPr>
            <w:tcW w:w="2200" w:type="dxa"/>
            <w:vAlign w:val="bottom"/>
            <w:gridSpan w:val="7"/>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52"/>
        </w:trPr>
        <w:tc>
          <w:tcPr>
            <w:tcW w:w="55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2"/>
        </w:trPr>
        <w:tc>
          <w:tcPr>
            <w:tcW w:w="55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Federal</w:t>
            </w:r>
          </w:p>
        </w:tc>
        <w:tc>
          <w:tcPr>
            <w:tcW w:w="660" w:type="dxa"/>
            <w:vAlign w:val="bottom"/>
            <w:shd w:val="clear" w:color="auto" w:fill="CFF0FC"/>
          </w:tcPr>
          <w:p>
            <w:pPr>
              <w:jc w:val="right"/>
              <w:ind w:right="508"/>
              <w:spacing w:after="0" w:line="152"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FF0FC"/>
          </w:tcPr>
          <w:p>
            <w:pPr>
              <w:jc w:val="right"/>
              <w:ind w:right="160"/>
              <w:spacing w:after="0" w:line="15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w:t>
            </w:r>
          </w:p>
        </w:tc>
      </w:tr>
      <w:tr>
        <w:trPr>
          <w:trHeight w:val="161"/>
        </w:trPr>
        <w:tc>
          <w:tcPr>
            <w:tcW w:w="5540" w:type="dxa"/>
            <w:vAlign w:val="bottom"/>
          </w:tcPr>
          <w:p>
            <w:pPr>
              <w:spacing w:after="0"/>
              <w:rPr>
                <w:sz w:val="20"/>
                <w:szCs w:val="20"/>
                <w:color w:val="auto"/>
              </w:rPr>
            </w:pPr>
            <w:r>
              <w:rPr>
                <w:rFonts w:ascii="Arial" w:cs="Arial" w:eastAsia="Arial" w:hAnsi="Arial"/>
                <w:sz w:val="14"/>
                <w:szCs w:val="14"/>
                <w:color w:val="auto"/>
              </w:rPr>
              <w:t>State and local</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5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Massachusetts</w:t>
            </w: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FF0FC"/>
          </w:tcPr>
          <w:p>
            <w:pPr>
              <w:spacing w:after="0"/>
              <w:rPr>
                <w:sz w:val="14"/>
                <w:szCs w:val="14"/>
                <w:color w:val="auto"/>
              </w:rPr>
            </w:pPr>
          </w:p>
        </w:tc>
      </w:tr>
      <w:tr>
        <w:trPr>
          <w:trHeight w:val="161"/>
        </w:trPr>
        <w:tc>
          <w:tcPr>
            <w:tcW w:w="5540" w:type="dxa"/>
            <w:vAlign w:val="bottom"/>
          </w:tcPr>
          <w:p>
            <w:pPr>
              <w:ind w:left="200"/>
              <w:spacing w:after="0"/>
              <w:rPr>
                <w:sz w:val="20"/>
                <w:szCs w:val="20"/>
                <w:color w:val="auto"/>
              </w:rPr>
            </w:pPr>
            <w:r>
              <w:rPr>
                <w:rFonts w:ascii="Arial" w:cs="Arial" w:eastAsia="Arial" w:hAnsi="Arial"/>
                <w:sz w:val="14"/>
                <w:szCs w:val="14"/>
                <w:color w:val="auto"/>
              </w:rPr>
              <w:t>All other U.S. state and local</w:t>
            </w:r>
          </w:p>
        </w:tc>
        <w:tc>
          <w:tcPr>
            <w:tcW w:w="6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1"/>
        </w:trPr>
        <w:tc>
          <w:tcPr>
            <w:tcW w:w="5540" w:type="dxa"/>
            <w:vAlign w:val="bottom"/>
            <w:shd w:val="clear" w:color="auto" w:fill="CFF0FC"/>
          </w:tcPr>
          <w:p>
            <w:pPr>
              <w:spacing w:after="0"/>
              <w:rPr>
                <w:sz w:val="20"/>
                <w:szCs w:val="20"/>
                <w:color w:val="auto"/>
              </w:rPr>
            </w:pPr>
            <w:r>
              <w:rPr>
                <w:rFonts w:ascii="Arial" w:cs="Arial" w:eastAsia="Arial" w:hAnsi="Arial"/>
                <w:sz w:val="14"/>
                <w:szCs w:val="14"/>
                <w:color w:val="auto"/>
              </w:rPr>
              <w:t>Foreign</w:t>
            </w: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5540" w:type="dxa"/>
            <w:vAlign w:val="bottom"/>
          </w:tcPr>
          <w:p>
            <w:pPr>
              <w:ind w:left="200"/>
              <w:spacing w:after="0"/>
              <w:rPr>
                <w:sz w:val="20"/>
                <w:szCs w:val="20"/>
                <w:color w:val="auto"/>
              </w:rPr>
            </w:pPr>
            <w:r>
              <w:rPr>
                <w:rFonts w:ascii="Arial" w:cs="Arial" w:eastAsia="Arial" w:hAnsi="Arial"/>
                <w:sz w:val="14"/>
                <w:szCs w:val="14"/>
                <w:color w:val="auto"/>
              </w:rPr>
              <w:t>Germany</w:t>
            </w:r>
          </w:p>
        </w:tc>
        <w:tc>
          <w:tcPr>
            <w:tcW w:w="66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4"/>
                <w:szCs w:val="14"/>
                <w:color w:val="auto"/>
              </w:rPr>
            </w:pPr>
          </w:p>
        </w:tc>
      </w:tr>
      <w:tr>
        <w:trPr>
          <w:trHeight w:val="20"/>
        </w:trPr>
        <w:tc>
          <w:tcPr>
            <w:tcW w:w="5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55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Total</w:t>
            </w:r>
          </w:p>
        </w:tc>
        <w:tc>
          <w:tcPr>
            <w:tcW w:w="660" w:type="dxa"/>
            <w:vAlign w:val="bottom"/>
            <w:shd w:val="clear" w:color="auto" w:fill="CFF0FC"/>
          </w:tcPr>
          <w:p>
            <w:pPr>
              <w:jc w:val="right"/>
              <w:ind w:right="508"/>
              <w:spacing w:after="0" w:line="152"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(89)</w:t>
            </w:r>
          </w:p>
        </w:tc>
        <w:tc>
          <w:tcPr>
            <w:tcW w:w="300" w:type="dxa"/>
            <w:vAlign w:val="bottom"/>
            <w:gridSpan w:val="2"/>
            <w:shd w:val="clear" w:color="auto" w:fill="CFF0FC"/>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558</w:t>
            </w:r>
          </w:p>
        </w:tc>
        <w:tc>
          <w:tcPr>
            <w:tcW w:w="80" w:type="dxa"/>
            <w:vAlign w:val="bottom"/>
            <w:shd w:val="clear" w:color="auto" w:fill="CFF0FC"/>
          </w:tcPr>
          <w:p>
            <w:pPr>
              <w:spacing w:after="0"/>
              <w:rPr>
                <w:sz w:val="14"/>
                <w:szCs w:val="14"/>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-19685</wp:posOffset>
            </wp:positionV>
            <wp:extent cx="4762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-6350</wp:posOffset>
            </wp:positionV>
            <wp:extent cx="4762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Company's change in its valuation allowance account with respect to deferred tax assets is as follows:</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52"/>
        </w:trPr>
        <w:tc>
          <w:tcPr>
            <w:tcW w:w="5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2"/>
        </w:trPr>
        <w:tc>
          <w:tcPr>
            <w:tcW w:w="55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Beginning balance</w:t>
            </w: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(122,486)</w:t>
            </w:r>
          </w:p>
        </w:tc>
        <w:tc>
          <w:tcPr>
            <w:tcW w:w="300" w:type="dxa"/>
            <w:vAlign w:val="bottom"/>
            <w:gridSpan w:val="2"/>
            <w:shd w:val="clear" w:color="auto" w:fill="CFF0FC"/>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(82,504)</w:t>
            </w:r>
          </w:p>
        </w:tc>
      </w:tr>
      <w:tr>
        <w:trPr>
          <w:trHeight w:val="161"/>
        </w:trPr>
        <w:tc>
          <w:tcPr>
            <w:tcW w:w="5540" w:type="dxa"/>
            <w:vAlign w:val="bottom"/>
          </w:tcPr>
          <w:p>
            <w:pPr>
              <w:spacing w:after="0"/>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(36,172)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(39,982)</w:t>
            </w:r>
          </w:p>
        </w:tc>
      </w:tr>
      <w:tr>
        <w:trPr>
          <w:trHeight w:val="20"/>
        </w:trPr>
        <w:tc>
          <w:tcPr>
            <w:tcW w:w="5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55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Ending balance</w:t>
            </w:r>
          </w:p>
        </w:tc>
        <w:tc>
          <w:tcPr>
            <w:tcW w:w="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(158,658)</w:t>
            </w:r>
          </w:p>
        </w:tc>
        <w:tc>
          <w:tcPr>
            <w:tcW w:w="300" w:type="dxa"/>
            <w:vAlign w:val="bottom"/>
            <w:gridSpan w:val="2"/>
            <w:shd w:val="clear" w:color="auto" w:fill="CFF0FC"/>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(122,486)</w:t>
            </w:r>
          </w:p>
        </w:tc>
      </w:tr>
      <w:tr>
        <w:trPr>
          <w:trHeight w:val="20"/>
        </w:trPr>
        <w:tc>
          <w:tcPr>
            <w:tcW w:w="5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-6350</wp:posOffset>
            </wp:positionV>
            <wp:extent cx="4762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valuation allowance increased during the year ended December 31, 2025 primarily as a result of the operating losses incurred and an increase in the deferred tax asset related to tax credits generated.</w:t>
      </w:r>
    </w:p>
    <w:p>
      <w:pPr>
        <w:spacing w:after="0" w:line="30"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In determining the need for a valuation allowance, the Company considers the cumulative book income and loss position. The Company has assessed, on a jurisdictional basis, the available means of recovering deferred tax assets, including the ability to carryback net operating losses, or NOLs, the existence of reversing taxable temporary differences, the availability of tax planning strategies, and forecasted future taxable income. At December 31, 2025, the Company maintained a full valuation allowance against its net deferred tax assets, as it has concluded that it is more likely than not that the deferred assets will not be utilized.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6" w:name="page267"/>
    <w:bookmarkEnd w:id="26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2"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Deferred tax asset: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Net operating loss carryforwards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64,943</w:t>
            </w:r>
          </w:p>
        </w:tc>
        <w:tc>
          <w:tcPr>
            <w:tcW w:w="14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23,917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4"/>
                <w:szCs w:val="14"/>
                <w:color w:val="auto"/>
              </w:rPr>
              <w:t>Tax credit carryforwards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17,272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Capitalized research and development costs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61,894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4"/>
                <w:szCs w:val="14"/>
                <w:color w:val="auto"/>
              </w:rPr>
              <w:t>Contingent consideration</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In-process research and development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4"/>
                <w:szCs w:val="14"/>
                <w:color w:val="auto"/>
              </w:rPr>
              <w:t>Lease liability</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Other temporary differences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Total deferred tax assets</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163,756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130,986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Less valuation allowance</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(158,658)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(122,486)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Net deferred tax assets</w:t>
            </w:r>
          </w:p>
        </w:tc>
        <w:tc>
          <w:tcPr>
            <w:tcW w:w="200" w:type="dxa"/>
            <w:vAlign w:val="bottom"/>
            <w:tcBorders>
              <w:top w:val="single" w:sz="8" w:color="auto"/>
            </w:tcBorders>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5,098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8,500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Property and equipment</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(4,680)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(7,509)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Other deferred tax liabilities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520" w:type="dxa"/>
            <w:vAlign w:val="bottom"/>
            <w:shd w:val="clear" w:color="auto" w:fill="CFF0FC"/>
          </w:tcPr>
          <w:p>
            <w:pPr>
              <w:spacing w:after="0" w:line="152" w:lineRule="exact"/>
              <w:rPr>
                <w:sz w:val="20"/>
                <w:szCs w:val="20"/>
                <w:color w:val="auto"/>
              </w:rPr>
            </w:pPr>
            <w:r>
              <w:rPr>
                <w:rFonts w:ascii="Arial" w:cs="Arial" w:eastAsia="Arial" w:hAnsi="Arial"/>
                <w:sz w:val="14"/>
                <w:szCs w:val="14"/>
                <w:b w:val="1"/>
                <w:bCs w:val="1"/>
                <w:color w:val="auto"/>
              </w:rPr>
              <w:t>Total deferred tax liabilities</w:t>
            </w:r>
          </w:p>
        </w:tc>
        <w:tc>
          <w:tcPr>
            <w:tcW w:w="200" w:type="dxa"/>
            <w:vAlign w:val="bottom"/>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100"/>
              <w:spacing w:after="0" w:line="152" w:lineRule="exact"/>
              <w:rPr>
                <w:sz w:val="20"/>
                <w:szCs w:val="20"/>
                <w:color w:val="auto"/>
              </w:rPr>
            </w:pPr>
            <w:r>
              <w:rPr>
                <w:rFonts w:ascii="Arial" w:cs="Arial" w:eastAsia="Arial" w:hAnsi="Arial"/>
                <w:sz w:val="14"/>
                <w:szCs w:val="14"/>
                <w:color w:val="auto"/>
              </w:rPr>
              <w:t>(5,098)</w:t>
            </w:r>
          </w:p>
        </w:tc>
        <w:tc>
          <w:tcPr>
            <w:tcW w:w="300" w:type="dxa"/>
            <w:vAlign w:val="bottom"/>
            <w:gridSpan w:val="2"/>
            <w:shd w:val="clear" w:color="auto" w:fill="CFF0FC"/>
          </w:tcPr>
          <w:p>
            <w:pPr>
              <w:jc w:val="right"/>
              <w:ind w:right="48"/>
              <w:spacing w:after="0" w:line="15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40"/>
              <w:spacing w:after="0" w:line="152" w:lineRule="exact"/>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Borders>
              <w:top w:val="single" w:sz="8" w:color="CFF0FC"/>
            </w:tcBorders>
          </w:tcPr>
          <w:p>
            <w:pPr>
              <w:spacing w:after="0" w:line="152" w:lineRule="exact"/>
              <w:rPr>
                <w:sz w:val="20"/>
                <w:szCs w:val="20"/>
                <w:color w:val="auto"/>
              </w:rPr>
            </w:pPr>
            <w:r>
              <w:rPr>
                <w:rFonts w:ascii="Arial" w:cs="Arial" w:eastAsia="Arial" w:hAnsi="Arial"/>
                <w:sz w:val="14"/>
                <w:szCs w:val="14"/>
                <w:b w:val="1"/>
                <w:bCs w:val="1"/>
                <w:color w:val="auto"/>
              </w:rPr>
              <w:t>Total net deferred tax assets</w:t>
            </w:r>
          </w:p>
        </w:tc>
        <w:tc>
          <w:tcPr>
            <w:tcW w:w="200" w:type="dxa"/>
            <w:vAlign w:val="bottom"/>
            <w:tcBorders>
              <w:top w:val="single" w:sz="8" w:color="auto"/>
              <w:bottom w:val="single" w:sz="8" w:color="auto"/>
            </w:tcBorders>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-115570</wp:posOffset>
            </wp:positionV>
            <wp:extent cx="4762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-115570</wp:posOffset>
            </wp:positionV>
            <wp:extent cx="4762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6"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As of December 31, 2025 and 2024, the Company had U.S. federal net operating loss carryforwards of approximately $240.4 million and $91.3 million, respectively. Federal net operating losses can be carried forward indefinitely and can be utilized to offset taxable income subject to an 80% taxable income limitation. As of December 31, 2025 and 2024, the Company had U.S. federal tax credit carryforwards of $16.8 and $13.1 million, respectively. Federal research and development credits can be carried forward 20 years and begin to expire in 2043.</w:t>
      </w:r>
    </w:p>
    <w:p>
      <w:pPr>
        <w:spacing w:after="0" w:line="139"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As of December 31, 2025 and 2024, the Company had $171.0 million and $73.6 million of state NOLs, respectively. These NOLs were generated in various states and expire at various dates through 2045. As of December 31, 2025 and 2024, the Company had U.S. state tax credit carryforwards of $7.4 million and $5.3 million that expire at various dates through 2040, respectively.</w:t>
      </w:r>
    </w:p>
    <w:p>
      <w:pPr>
        <w:spacing w:after="0" w:line="135" w:lineRule="exact"/>
        <w:rPr>
          <w:sz w:val="20"/>
          <w:szCs w:val="20"/>
          <w:color w:val="auto"/>
        </w:rPr>
      </w:pPr>
    </w:p>
    <w:p>
      <w:pPr>
        <w:jc w:val="both"/>
        <w:ind w:left="640" w:right="639"/>
        <w:spacing w:after="0" w:line="261" w:lineRule="auto"/>
        <w:rPr>
          <w:sz w:val="20"/>
          <w:szCs w:val="20"/>
          <w:color w:val="auto"/>
        </w:rPr>
      </w:pPr>
      <w:r>
        <w:rPr>
          <w:rFonts w:ascii="Arial" w:cs="Arial" w:eastAsia="Arial" w:hAnsi="Arial"/>
          <w:sz w:val="14"/>
          <w:szCs w:val="14"/>
          <w:color w:val="auto"/>
        </w:rPr>
        <w:t>As of December 31, 2025, the Company has net operating loss carryforwards in the United Kingdom of $0.7 million and net operating loss carryforwards in Germany of $10.9 million, which can be carried forward indefinitely. As of December 2024, the Company had net operating loss carryforwards in the United Kingdom of $0.4 million.</w:t>
      </w:r>
    </w:p>
    <w:p>
      <w:pPr>
        <w:spacing w:after="0" w:line="130" w:lineRule="exact"/>
        <w:rPr>
          <w:sz w:val="20"/>
          <w:szCs w:val="20"/>
          <w:color w:val="auto"/>
        </w:rPr>
      </w:pPr>
    </w:p>
    <w:p>
      <w:pPr>
        <w:jc w:val="both"/>
        <w:ind w:left="640" w:right="639"/>
        <w:spacing w:after="0" w:line="261" w:lineRule="auto"/>
        <w:rPr>
          <w:sz w:val="20"/>
          <w:szCs w:val="20"/>
          <w:color w:val="auto"/>
        </w:rPr>
      </w:pPr>
      <w:r>
        <w:rPr>
          <w:rFonts w:ascii="Arial" w:cs="Arial" w:eastAsia="Arial" w:hAnsi="Arial"/>
          <w:sz w:val="14"/>
          <w:szCs w:val="14"/>
          <w:color w:val="auto"/>
        </w:rPr>
        <w:t>Utilization of net operating losses and credits may be subject to substantial annual limitations due to the “change in ownership” provisions of the Internal Revenue Code of 1986, and similar state provisions. The annual limitations may result in the expiration of net operating losses before utilization.</w:t>
      </w:r>
    </w:p>
    <w:p>
      <w:pPr>
        <w:spacing w:after="0" w:line="130" w:lineRule="exact"/>
        <w:rPr>
          <w:sz w:val="20"/>
          <w:szCs w:val="20"/>
          <w:color w:val="auto"/>
        </w:rPr>
      </w:pPr>
    </w:p>
    <w:p>
      <w:pPr>
        <w:jc w:val="both"/>
        <w:ind w:left="640" w:right="639"/>
        <w:spacing w:after="0" w:line="243" w:lineRule="auto"/>
        <w:rPr>
          <w:sz w:val="20"/>
          <w:szCs w:val="20"/>
          <w:color w:val="auto"/>
        </w:rPr>
      </w:pPr>
      <w:r>
        <w:rPr>
          <w:rFonts w:ascii="Arial" w:cs="Arial" w:eastAsia="Arial" w:hAnsi="Arial"/>
          <w:sz w:val="14"/>
          <w:szCs w:val="14"/>
          <w:color w:val="auto"/>
        </w:rPr>
        <w:t>Under Internal Revenue Code Section 382, if a corporation undergoes an “ownership change,” the corporation’s ability to use its pre-change net operating loss carryforwards and other pre-change tax attributes to offset its post-change income may be limited. The Company has not completed a study to assess whether an “ownership change” has occurred or whether there have been multiple ownership changes since we became a “loss corporation” as defined in Section 382. Future changes in the Company's stock ownership, which may be outside of the Company's control, may trigger an “ownership change.” In addition, future equity offerings or acquisitions that have equity as a component of the purchase price could result in an “ownership change.” If an “ownership change” has occurred or does occur in the future, utilization of the net operating loss carryforwards or other tax attributes may be limited, which could potentially result in increased future tax liability to the Company. In addition, at the state level, there may be periods during which the use of net operating loss carryforwards is suspended or otherwise limited, which could accelerate or permanently increase the Company's state taxes owed. As a result, even if profitability is attained, the Company may be unable to use all or a material portion of the net operating loss carryforwards and other tax attributes, which could adversely affect future cash flows.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7" w:name="page268"/>
    <w:bookmarkEnd w:id="26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48" w:lineRule="auto"/>
        <w:rPr>
          <w:sz w:val="20"/>
          <w:szCs w:val="20"/>
          <w:color w:val="auto"/>
        </w:rPr>
      </w:pPr>
      <w:r>
        <w:rPr>
          <w:rFonts w:ascii="Arial" w:cs="Arial" w:eastAsia="Arial" w:hAnsi="Arial"/>
          <w:sz w:val="14"/>
          <w:szCs w:val="14"/>
          <w:color w:val="auto"/>
        </w:rPr>
        <w:t>The Company has not provided for deferred income taxes on the undistributed earnings of foreign subsidiaries. The amount the Company would expect to repatriate is based on a variety of factors including current year earnings of the foreign subsidiaries, foreign investment needs, and U.S. cash flow considerations. The Company considers the remaining undistributed foreign earnings that are not specifically identified to be indefinitely reinvested. As of December 31, 2025, the Company does not accrue taxes of foreign earnings which remain indefinitely reinvested outside the U.S and unrecognized deferred tax liabilities are immaterial.</w:t>
      </w:r>
    </w:p>
    <w:p>
      <w:pPr>
        <w:spacing w:after="0" w:line="140" w:lineRule="exact"/>
        <w:rPr>
          <w:sz w:val="20"/>
          <w:szCs w:val="20"/>
          <w:color w:val="auto"/>
        </w:rPr>
      </w:pPr>
    </w:p>
    <w:p>
      <w:pPr>
        <w:ind w:left="1160" w:hanging="522"/>
        <w:spacing w:after="0"/>
        <w:tabs>
          <w:tab w:leader="none" w:pos="1160"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w:t>
      </w:r>
    </w:p>
    <w:p>
      <w:pPr>
        <w:spacing w:after="0" w:line="172" w:lineRule="exact"/>
        <w:rPr>
          <w:sz w:val="20"/>
          <w:szCs w:val="20"/>
          <w:color w:val="auto"/>
        </w:rPr>
      </w:pPr>
    </w:p>
    <w:p>
      <w:pPr>
        <w:ind w:left="640" w:right="659"/>
        <w:spacing w:after="0" w:line="282" w:lineRule="auto"/>
        <w:rPr>
          <w:sz w:val="20"/>
          <w:szCs w:val="20"/>
          <w:color w:val="auto"/>
        </w:rPr>
      </w:pPr>
      <w:r>
        <w:rPr>
          <w:rFonts w:ascii="Arial" w:cs="Arial" w:eastAsia="Arial" w:hAnsi="Arial"/>
          <w:sz w:val="14"/>
          <w:szCs w:val="14"/>
          <w:color w:val="auto"/>
        </w:rPr>
        <w:t>The following table sets forth the computation of the Company’s basic and diluted net loss per share attributable to common stockholders for the periods presented:</w:t>
      </w:r>
    </w:p>
    <w:p>
      <w:pPr>
        <w:spacing w:after="0" w:line="277" w:lineRule="exact"/>
        <w:rPr>
          <w:sz w:val="20"/>
          <w:szCs w:val="20"/>
          <w:color w:val="auto"/>
        </w:rPr>
      </w:pPr>
    </w:p>
    <w:tbl>
      <w:tblPr>
        <w:tblLayout w:type="fixed"/>
        <w:tblInd w:w="76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2"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8"/>
              <w:spacing w:after="0" w:line="152"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2"/>
        </w:trPr>
        <w:tc>
          <w:tcPr>
            <w:tcW w:w="450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Numerator:</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(148,647)</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(129,321)</w:t>
            </w:r>
          </w:p>
        </w:tc>
        <w:tc>
          <w:tcPr>
            <w:tcW w:w="0" w:type="dxa"/>
            <w:vAlign w:val="bottom"/>
          </w:tcPr>
          <w:p>
            <w:pPr>
              <w:spacing w:after="0"/>
              <w:rPr>
                <w:sz w:val="1"/>
                <w:szCs w:val="1"/>
                <w:color w:val="auto"/>
              </w:rPr>
            </w:pPr>
          </w:p>
        </w:tc>
      </w:tr>
      <w:tr>
        <w:trPr>
          <w:trHeight w:val="146"/>
        </w:trPr>
        <w:tc>
          <w:tcPr>
            <w:tcW w:w="4500" w:type="dxa"/>
            <w:vAlign w:val="bottom"/>
            <w:shd w:val="clear" w:color="auto" w:fill="CFF0FC"/>
          </w:tcPr>
          <w:p>
            <w:pPr>
              <w:ind w:left="200"/>
              <w:spacing w:after="0" w:line="147" w:lineRule="exact"/>
              <w:rPr>
                <w:sz w:val="20"/>
                <w:szCs w:val="20"/>
                <w:color w:val="auto"/>
              </w:rPr>
            </w:pPr>
            <w:r>
              <w:rPr>
                <w:rFonts w:ascii="Arial" w:cs="Arial" w:eastAsia="Arial" w:hAnsi="Arial"/>
                <w:sz w:val="14"/>
                <w:szCs w:val="14"/>
                <w:color w:val="auto"/>
              </w:rPr>
              <w:t>Deemed dividend upon convertible preferred stock down round</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65"/>
        </w:trPr>
        <w:tc>
          <w:tcPr>
            <w:tcW w:w="4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adjustment</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500" w:type="dxa"/>
            <w:vAlign w:val="bottom"/>
          </w:tcPr>
          <w:p>
            <w:pPr>
              <w:ind w:left="200"/>
              <w:spacing w:after="0" w:line="152" w:lineRule="exact"/>
              <w:rPr>
                <w:sz w:val="20"/>
                <w:szCs w:val="20"/>
                <w:color w:val="auto"/>
              </w:rPr>
            </w:pPr>
            <w:r>
              <w:rPr>
                <w:rFonts w:ascii="Arial" w:cs="Arial" w:eastAsia="Arial" w:hAnsi="Arial"/>
                <w:sz w:val="14"/>
                <w:szCs w:val="14"/>
                <w:color w:val="auto"/>
              </w:rPr>
              <w:t>Net loss attributable to common stockholders</w:t>
            </w:r>
          </w:p>
        </w:tc>
        <w:tc>
          <w:tcPr>
            <w:tcW w:w="44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(148,647)</w:t>
            </w:r>
          </w:p>
        </w:tc>
        <w:tc>
          <w:tcPr>
            <w:tcW w:w="4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52" w:lineRule="exact"/>
              <w:rPr>
                <w:sz w:val="20"/>
                <w:szCs w:val="20"/>
                <w:color w:val="auto"/>
              </w:rPr>
            </w:pPr>
            <w:r>
              <w:rPr>
                <w:rFonts w:ascii="Arial" w:cs="Arial" w:eastAsia="Arial" w:hAnsi="Arial"/>
                <w:sz w:val="14"/>
                <w:szCs w:val="14"/>
                <w:color w:val="auto"/>
              </w:rPr>
              <w:t>(130,401)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0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Denominator:</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line="131" w:lineRule="exact"/>
              <w:rPr>
                <w:sz w:val="20"/>
                <w:szCs w:val="20"/>
                <w:color w:val="auto"/>
              </w:rPr>
            </w:pPr>
            <w:r>
              <w:rPr>
                <w:rFonts w:ascii="Arial" w:cs="Arial" w:eastAsia="Arial" w:hAnsi="Arial"/>
                <w:sz w:val="14"/>
                <w:szCs w:val="14"/>
                <w:color w:val="auto"/>
              </w:rPr>
              <w:t>Weighted-average number of common shares used in computing net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28,813,328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7,841,528</w:t>
            </w:r>
          </w:p>
        </w:tc>
        <w:tc>
          <w:tcPr>
            <w:tcW w:w="0" w:type="dxa"/>
            <w:vAlign w:val="bottom"/>
          </w:tcPr>
          <w:p>
            <w:pPr>
              <w:spacing w:after="0"/>
              <w:rPr>
                <w:sz w:val="1"/>
                <w:szCs w:val="1"/>
                <w:color w:val="auto"/>
              </w:rPr>
            </w:pPr>
          </w:p>
        </w:tc>
      </w:tr>
      <w:tr>
        <w:trPr>
          <w:trHeight w:val="159"/>
        </w:trPr>
        <w:tc>
          <w:tcPr>
            <w:tcW w:w="4500" w:type="dxa"/>
            <w:vAlign w:val="bottom"/>
          </w:tcPr>
          <w:p>
            <w:pPr>
              <w:spacing w:after="0" w:line="139" w:lineRule="exact"/>
              <w:rPr>
                <w:sz w:val="20"/>
                <w:szCs w:val="20"/>
                <w:color w:val="auto"/>
              </w:rPr>
            </w:pPr>
            <w:r>
              <w:rPr>
                <w:rFonts w:ascii="Arial" w:cs="Arial" w:eastAsia="Arial" w:hAnsi="Arial"/>
                <w:sz w:val="12"/>
                <w:szCs w:val="12"/>
                <w:color w:val="auto"/>
              </w:rPr>
              <w:t xml:space="preserve">loss, basic and diluted per share—basic and diluted </w:t>
            </w:r>
            <w:r>
              <w:rPr>
                <w:rFonts w:ascii="Arial" w:cs="Arial" w:eastAsia="Arial" w:hAnsi="Arial"/>
                <w:sz w:val="16"/>
                <w:szCs w:val="16"/>
                <w:color w:val="auto"/>
                <w:vertAlign w:val="superscript"/>
              </w:rPr>
              <w:t>(1)</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500" w:type="dxa"/>
            <w:vAlign w:val="bottom"/>
            <w:shd w:val="clear" w:color="auto" w:fill="CFF0FC"/>
          </w:tcPr>
          <w:p>
            <w:pPr>
              <w:spacing w:after="0" w:line="119" w:lineRule="exact"/>
              <w:rPr>
                <w:sz w:val="20"/>
                <w:szCs w:val="20"/>
                <w:color w:val="auto"/>
              </w:rPr>
            </w:pPr>
            <w:r>
              <w:rPr>
                <w:rFonts w:ascii="Arial" w:cs="Arial" w:eastAsia="Arial" w:hAnsi="Arial"/>
                <w:sz w:val="13"/>
                <w:szCs w:val="13"/>
                <w:color w:val="auto"/>
              </w:rPr>
              <w:t>Net loss per share attributable to common stockholders—basic and</w:t>
            </w:r>
          </w:p>
        </w:tc>
        <w:tc>
          <w:tcPr>
            <w:tcW w:w="4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4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64"/>
        </w:trPr>
        <w:tc>
          <w:tcPr>
            <w:tcW w:w="4500" w:type="dxa"/>
            <w:vAlign w:val="bottom"/>
            <w:shd w:val="clear" w:color="auto" w:fill="CFF0FC"/>
          </w:tcPr>
          <w:p>
            <w:pPr>
              <w:spacing w:after="0" w:line="124" w:lineRule="exact"/>
              <w:rPr>
                <w:sz w:val="20"/>
                <w:szCs w:val="20"/>
                <w:color w:val="auto"/>
              </w:rPr>
            </w:pPr>
            <w:r>
              <w:rPr>
                <w:rFonts w:ascii="Arial" w:cs="Arial" w:eastAsia="Arial" w:hAnsi="Arial"/>
                <w:sz w:val="14"/>
                <w:szCs w:val="14"/>
                <w:color w:val="auto"/>
              </w:rPr>
              <w:t>diluted</w:t>
            </w:r>
          </w:p>
        </w:tc>
        <w:tc>
          <w:tcPr>
            <w:tcW w:w="440" w:type="dxa"/>
            <w:vAlign w:val="bottom"/>
            <w:gridSpan w:val="2"/>
            <w:vMerge w:val="continue"/>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-640080</wp:posOffset>
            </wp:positionV>
            <wp:extent cx="6794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-19685</wp:posOffset>
            </wp:positionV>
            <wp:extent cx="6794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-6350</wp:posOffset>
            </wp:positionV>
            <wp:extent cx="6794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277" w:lineRule="exact"/>
        <w:rPr>
          <w:sz w:val="20"/>
          <w:szCs w:val="20"/>
          <w:color w:val="auto"/>
        </w:rPr>
      </w:pPr>
    </w:p>
    <w:p>
      <w:pPr>
        <w:jc w:val="both"/>
        <w:ind w:left="640" w:right="659" w:hanging="2"/>
        <w:spacing w:after="0"/>
        <w:tabs>
          <w:tab w:leader="none" w:pos="784" w:val="left"/>
        </w:tabs>
        <w:numPr>
          <w:ilvl w:val="0"/>
          <w:numId w:val="121"/>
        </w:numPr>
        <w:rPr>
          <w:rFonts w:ascii="Arial" w:cs="Arial" w:eastAsia="Arial" w:hAnsi="Arial"/>
          <w:sz w:val="17"/>
          <w:szCs w:val="17"/>
          <w:color w:val="auto"/>
          <w:vertAlign w:val="superscript"/>
        </w:rPr>
      </w:pPr>
      <w:r>
        <w:rPr>
          <w:rFonts w:ascii="Arial" w:cs="Arial" w:eastAsia="Arial" w:hAnsi="Arial"/>
          <w:sz w:val="13"/>
          <w:szCs w:val="13"/>
          <w:color w:val="auto"/>
        </w:rPr>
        <w:t>The weighted-average number of common shares used in computing net loss basic and diluted per share for the year ended December 31, 2025 includes 39,414,039 Common Warrants issued as part of the Series D preferred stock financing during 2025.</w:t>
      </w:r>
    </w:p>
    <w:p>
      <w:pPr>
        <w:spacing w:after="0" w:line="310" w:lineRule="exact"/>
        <w:rPr>
          <w:sz w:val="20"/>
          <w:szCs w:val="20"/>
          <w:color w:val="auto"/>
        </w:rPr>
      </w:pPr>
    </w:p>
    <w:p>
      <w:pPr>
        <w:ind w:left="640" w:right="659"/>
        <w:spacing w:after="0" w:line="282" w:lineRule="auto"/>
        <w:rPr>
          <w:sz w:val="20"/>
          <w:szCs w:val="20"/>
          <w:color w:val="auto"/>
        </w:rPr>
      </w:pPr>
      <w:r>
        <w:rPr>
          <w:rFonts w:ascii="Arial" w:cs="Arial" w:eastAsia="Arial" w:hAnsi="Arial"/>
          <w:sz w:val="14"/>
          <w:szCs w:val="14"/>
          <w:color w:val="auto"/>
        </w:rPr>
        <w:t>The following outstanding potentially dilutive securities have been excluded from the calculation of diluted net loss per share attributable to common stockholders, as their effect is antidilutive:</w:t>
      </w:r>
    </w:p>
    <w:p>
      <w:pPr>
        <w:spacing w:after="0" w:line="27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7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Year Ended December 31,</w:t>
            </w:r>
          </w:p>
        </w:tc>
      </w:tr>
      <w:tr>
        <w:trPr>
          <w:trHeight w:val="152"/>
        </w:trPr>
        <w:tc>
          <w:tcPr>
            <w:tcW w:w="5040" w:type="dxa"/>
            <w:vAlign w:val="bottom"/>
          </w:tcPr>
          <w:p>
            <w:pPr>
              <w:spacing w:after="0"/>
              <w:rPr>
                <w:sz w:val="13"/>
                <w:szCs w:val="13"/>
                <w:color w:val="auto"/>
              </w:rPr>
            </w:pPr>
          </w:p>
        </w:tc>
        <w:tc>
          <w:tcPr>
            <w:tcW w:w="1280" w:type="dxa"/>
            <w:vAlign w:val="bottom"/>
            <w:tcBorders>
              <w:bottom w:val="single" w:sz="8" w:color="auto"/>
            </w:tcBorders>
          </w:tcPr>
          <w:p>
            <w:pPr>
              <w:jc w:val="right"/>
              <w:ind w:right="448"/>
              <w:spacing w:after="0" w:line="152"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488"/>
              <w:spacing w:after="0" w:line="152" w:lineRule="exact"/>
              <w:rPr>
                <w:sz w:val="20"/>
                <w:szCs w:val="20"/>
                <w:color w:val="auto"/>
              </w:rPr>
            </w:pPr>
            <w:r>
              <w:rPr>
                <w:rFonts w:ascii="Arial" w:cs="Arial" w:eastAsia="Arial" w:hAnsi="Arial"/>
                <w:sz w:val="14"/>
                <w:szCs w:val="14"/>
                <w:b w:val="1"/>
                <w:bCs w:val="1"/>
                <w:color w:val="auto"/>
              </w:rPr>
              <w:t>2024</w:t>
            </w:r>
          </w:p>
        </w:tc>
      </w:tr>
      <w:tr>
        <w:trPr>
          <w:trHeight w:val="152"/>
        </w:trPr>
        <w:tc>
          <w:tcPr>
            <w:tcW w:w="504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Stock options to purchase common stock</w:t>
            </w:r>
          </w:p>
        </w:tc>
        <w:tc>
          <w:tcPr>
            <w:tcW w:w="1280" w:type="dxa"/>
            <w:vAlign w:val="bottom"/>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45,008,927</w:t>
            </w:r>
          </w:p>
        </w:tc>
        <w:tc>
          <w:tcPr>
            <w:tcW w:w="1420" w:type="dxa"/>
            <w:vAlign w:val="bottom"/>
            <w:gridSpan w:val="2"/>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22,516,125</w:t>
            </w:r>
          </w:p>
        </w:tc>
      </w:tr>
      <w:tr>
        <w:trPr>
          <w:trHeight w:val="161"/>
        </w:trPr>
        <w:tc>
          <w:tcPr>
            <w:tcW w:w="5040" w:type="dxa"/>
            <w:vAlign w:val="bottom"/>
          </w:tcPr>
          <w:p>
            <w:pPr>
              <w:spacing w:after="0"/>
              <w:rPr>
                <w:sz w:val="20"/>
                <w:szCs w:val="20"/>
                <w:color w:val="auto"/>
              </w:rPr>
            </w:pPr>
            <w:r>
              <w:rPr>
                <w:rFonts w:ascii="Arial" w:cs="Arial" w:eastAsia="Arial" w:hAnsi="Arial"/>
                <w:sz w:val="14"/>
                <w:szCs w:val="14"/>
                <w:color w:val="auto"/>
              </w:rPr>
              <w:t>Unvested restricted stock awards</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1,618,376</w:t>
            </w:r>
          </w:p>
        </w:tc>
        <w:tc>
          <w:tcPr>
            <w:tcW w:w="1420" w:type="dxa"/>
            <w:vAlign w:val="bottom"/>
            <w:gridSpan w:val="2"/>
          </w:tcPr>
          <w:p>
            <w:pPr>
              <w:jc w:val="right"/>
              <w:ind w:right="28"/>
              <w:spacing w:after="0"/>
              <w:rPr>
                <w:sz w:val="20"/>
                <w:szCs w:val="20"/>
                <w:color w:val="auto"/>
              </w:rPr>
            </w:pPr>
            <w:r>
              <w:rPr>
                <w:rFonts w:ascii="Arial" w:cs="Arial" w:eastAsia="Arial" w:hAnsi="Arial"/>
                <w:sz w:val="14"/>
                <w:szCs w:val="14"/>
                <w:color w:val="auto"/>
              </w:rPr>
              <w:t>310,506</w:t>
            </w:r>
          </w:p>
        </w:tc>
      </w:tr>
      <w:tr>
        <w:trPr>
          <w:trHeight w:val="161"/>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Series A convertible preferred stock (as converted to common stock)</w:t>
            </w: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28,357,989</w:t>
            </w:r>
          </w:p>
        </w:tc>
        <w:tc>
          <w:tcPr>
            <w:tcW w:w="1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30,039,874</w:t>
            </w:r>
          </w:p>
        </w:tc>
      </w:tr>
      <w:tr>
        <w:trPr>
          <w:trHeight w:val="161"/>
        </w:trPr>
        <w:tc>
          <w:tcPr>
            <w:tcW w:w="5040" w:type="dxa"/>
            <w:vAlign w:val="bottom"/>
          </w:tcPr>
          <w:p>
            <w:pPr>
              <w:spacing w:after="0"/>
              <w:rPr>
                <w:sz w:val="20"/>
                <w:szCs w:val="20"/>
                <w:color w:val="auto"/>
              </w:rPr>
            </w:pPr>
            <w:r>
              <w:rPr>
                <w:rFonts w:ascii="Arial" w:cs="Arial" w:eastAsia="Arial" w:hAnsi="Arial"/>
                <w:sz w:val="14"/>
                <w:szCs w:val="14"/>
                <w:color w:val="auto"/>
              </w:rPr>
              <w:t>Series A-1 convertible preferred stock (as converted to common stock)</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7,821,148</w:t>
            </w:r>
          </w:p>
        </w:tc>
        <w:tc>
          <w:tcPr>
            <w:tcW w:w="1420" w:type="dxa"/>
            <w:vAlign w:val="bottom"/>
            <w:gridSpan w:val="2"/>
          </w:tcPr>
          <w:p>
            <w:pPr>
              <w:jc w:val="right"/>
              <w:ind w:right="28"/>
              <w:spacing w:after="0"/>
              <w:rPr>
                <w:sz w:val="20"/>
                <w:szCs w:val="20"/>
                <w:color w:val="auto"/>
              </w:rPr>
            </w:pPr>
            <w:r>
              <w:rPr>
                <w:rFonts w:ascii="Arial" w:cs="Arial" w:eastAsia="Arial" w:hAnsi="Arial"/>
                <w:sz w:val="14"/>
                <w:szCs w:val="14"/>
                <w:color w:val="auto"/>
              </w:rPr>
              <w:t>7,821,148</w:t>
            </w:r>
          </w:p>
        </w:tc>
      </w:tr>
      <w:tr>
        <w:trPr>
          <w:trHeight w:val="161"/>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Series A-2 convertible preferred stock (as converted to common stock)</w:t>
            </w: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8,125,263</w:t>
            </w:r>
          </w:p>
        </w:tc>
        <w:tc>
          <w:tcPr>
            <w:tcW w:w="1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8,125,263</w:t>
            </w:r>
          </w:p>
        </w:tc>
      </w:tr>
      <w:tr>
        <w:trPr>
          <w:trHeight w:val="161"/>
        </w:trPr>
        <w:tc>
          <w:tcPr>
            <w:tcW w:w="5040" w:type="dxa"/>
            <w:vAlign w:val="bottom"/>
          </w:tcPr>
          <w:p>
            <w:pPr>
              <w:spacing w:after="0"/>
              <w:rPr>
                <w:sz w:val="20"/>
                <w:szCs w:val="20"/>
                <w:color w:val="auto"/>
              </w:rPr>
            </w:pPr>
            <w:r>
              <w:rPr>
                <w:rFonts w:ascii="Arial" w:cs="Arial" w:eastAsia="Arial" w:hAnsi="Arial"/>
                <w:sz w:val="14"/>
                <w:szCs w:val="14"/>
                <w:color w:val="auto"/>
              </w:rPr>
              <w:t>Series B convertible preferred stock (as converted to common stock)</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27,842,952</w:t>
            </w:r>
          </w:p>
        </w:tc>
        <w:tc>
          <w:tcPr>
            <w:tcW w:w="1420" w:type="dxa"/>
            <w:vAlign w:val="bottom"/>
            <w:gridSpan w:val="2"/>
          </w:tcPr>
          <w:p>
            <w:pPr>
              <w:jc w:val="right"/>
              <w:ind w:right="28"/>
              <w:spacing w:after="0"/>
              <w:rPr>
                <w:sz w:val="20"/>
                <w:szCs w:val="20"/>
                <w:color w:val="auto"/>
              </w:rPr>
            </w:pPr>
            <w:r>
              <w:rPr>
                <w:rFonts w:ascii="Arial" w:cs="Arial" w:eastAsia="Arial" w:hAnsi="Arial"/>
                <w:sz w:val="14"/>
                <w:szCs w:val="14"/>
                <w:color w:val="auto"/>
              </w:rPr>
              <w:t>27,842,952</w:t>
            </w:r>
          </w:p>
        </w:tc>
      </w:tr>
      <w:tr>
        <w:trPr>
          <w:trHeight w:val="161"/>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Series C convertible preferred stock (as converted to common stock)</w:t>
            </w: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23,442,000</w:t>
            </w:r>
          </w:p>
        </w:tc>
        <w:tc>
          <w:tcPr>
            <w:tcW w:w="1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23,442,000</w:t>
            </w:r>
          </w:p>
        </w:tc>
      </w:tr>
      <w:tr>
        <w:trPr>
          <w:trHeight w:val="161"/>
        </w:trPr>
        <w:tc>
          <w:tcPr>
            <w:tcW w:w="5040" w:type="dxa"/>
            <w:vAlign w:val="bottom"/>
          </w:tcPr>
          <w:p>
            <w:pPr>
              <w:spacing w:after="0"/>
              <w:rPr>
                <w:sz w:val="20"/>
                <w:szCs w:val="20"/>
                <w:color w:val="auto"/>
              </w:rPr>
            </w:pPr>
            <w:r>
              <w:rPr>
                <w:rFonts w:ascii="Arial" w:cs="Arial" w:eastAsia="Arial" w:hAnsi="Arial"/>
                <w:sz w:val="14"/>
                <w:szCs w:val="14"/>
                <w:color w:val="auto"/>
              </w:rPr>
              <w:t>Series C-1 convertible preferred stock (as converted to common stock)</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1,459,598</w:t>
            </w:r>
          </w:p>
        </w:tc>
        <w:tc>
          <w:tcPr>
            <w:tcW w:w="1420" w:type="dxa"/>
            <w:vAlign w:val="bottom"/>
            <w:gridSpan w:val="2"/>
          </w:tcPr>
          <w:p>
            <w:pPr>
              <w:jc w:val="right"/>
              <w:ind w:right="28"/>
              <w:spacing w:after="0"/>
              <w:rPr>
                <w:sz w:val="20"/>
                <w:szCs w:val="20"/>
                <w:color w:val="auto"/>
              </w:rPr>
            </w:pPr>
            <w:r>
              <w:rPr>
                <w:rFonts w:ascii="Arial" w:cs="Arial" w:eastAsia="Arial" w:hAnsi="Arial"/>
                <w:sz w:val="14"/>
                <w:szCs w:val="14"/>
                <w:color w:val="auto"/>
              </w:rPr>
              <w:t>1,459,598</w:t>
            </w:r>
          </w:p>
        </w:tc>
      </w:tr>
      <w:tr>
        <w:trPr>
          <w:trHeight w:val="161"/>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Series D convertible preferred stock (as converted to common stock)</w:t>
            </w: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141,950,377</w:t>
            </w:r>
          </w:p>
        </w:tc>
        <w:tc>
          <w:tcPr>
            <w:tcW w:w="1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61"/>
        </w:trPr>
        <w:tc>
          <w:tcPr>
            <w:tcW w:w="5040" w:type="dxa"/>
            <w:vAlign w:val="bottom"/>
          </w:tcPr>
          <w:p>
            <w:pPr>
              <w:spacing w:after="0"/>
              <w:rPr>
                <w:sz w:val="20"/>
                <w:szCs w:val="20"/>
                <w:color w:val="auto"/>
              </w:rPr>
            </w:pPr>
            <w:r>
              <w:rPr>
                <w:rFonts w:ascii="Arial" w:cs="Arial" w:eastAsia="Arial" w:hAnsi="Arial"/>
                <w:sz w:val="14"/>
                <w:szCs w:val="14"/>
                <w:color w:val="auto"/>
              </w:rPr>
              <w:t>Series A-2 warrants (as converted to common stock)</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16,928</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16,928</w:t>
            </w:r>
          </w:p>
        </w:tc>
      </w:tr>
      <w:tr>
        <w:trPr>
          <w:trHeight w:val="192"/>
        </w:trPr>
        <w:tc>
          <w:tcPr>
            <w:tcW w:w="5040" w:type="dxa"/>
            <w:vAlign w:val="bottom"/>
            <w:tcBorders>
              <w:bottom w:val="single" w:sz="8" w:color="CFF0FC"/>
            </w:tcBorders>
            <w:shd w:val="clear" w:color="auto" w:fill="CFF0FC"/>
          </w:tcPr>
          <w:p>
            <w:pPr>
              <w:spacing w:after="0" w:line="152" w:lineRule="exact"/>
              <w:rPr>
                <w:sz w:val="20"/>
                <w:szCs w:val="20"/>
                <w:color w:val="auto"/>
              </w:rPr>
            </w:pPr>
            <w:r>
              <w:rPr>
                <w:rFonts w:ascii="Arial" w:cs="Arial" w:eastAsia="Arial" w:hAnsi="Arial"/>
                <w:sz w:val="14"/>
                <w:szCs w:val="14"/>
                <w:color w:val="auto"/>
              </w:rPr>
              <w:t>Total</w:t>
            </w:r>
          </w:p>
        </w:tc>
        <w:tc>
          <w:tcPr>
            <w:tcW w:w="1280" w:type="dxa"/>
            <w:vAlign w:val="bottom"/>
            <w:tcBorders>
              <w:bottom w:val="single" w:sz="8" w:color="auto"/>
            </w:tcBorders>
            <w:shd w:val="clear" w:color="auto" w:fill="CFF0FC"/>
          </w:tcPr>
          <w:p>
            <w:pPr>
              <w:jc w:val="right"/>
              <w:ind w:right="8"/>
              <w:spacing w:after="0" w:line="152" w:lineRule="exact"/>
              <w:rPr>
                <w:sz w:val="20"/>
                <w:szCs w:val="20"/>
                <w:color w:val="auto"/>
              </w:rPr>
            </w:pPr>
            <w:r>
              <w:rPr>
                <w:rFonts w:ascii="Arial" w:cs="Arial" w:eastAsia="Arial" w:hAnsi="Arial"/>
                <w:sz w:val="14"/>
                <w:szCs w:val="14"/>
                <w:color w:val="auto"/>
              </w:rPr>
              <w:t>285,643,558</w:t>
            </w:r>
          </w:p>
        </w:tc>
        <w:tc>
          <w:tcPr>
            <w:tcW w:w="10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121,574,394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-19685</wp:posOffset>
            </wp:positionV>
            <wp:extent cx="6159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-6350</wp:posOffset>
            </wp:positionV>
            <wp:extent cx="6159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298" w:lineRule="exact"/>
        <w:rPr>
          <w:sz w:val="20"/>
          <w:szCs w:val="20"/>
          <w:color w:val="auto"/>
        </w:rPr>
      </w:pPr>
    </w:p>
    <w:p>
      <w:pPr>
        <w:ind w:left="1160" w:hanging="522"/>
        <w:spacing w:after="0"/>
        <w:tabs>
          <w:tab w:leader="none" w:pos="1160"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172" w:lineRule="exact"/>
        <w:rPr>
          <w:sz w:val="20"/>
          <w:szCs w:val="20"/>
          <w:color w:val="auto"/>
        </w:rPr>
      </w:pPr>
    </w:p>
    <w:p>
      <w:pPr>
        <w:jc w:val="both"/>
        <w:ind w:left="640" w:right="659"/>
        <w:spacing w:after="0" w:line="250" w:lineRule="auto"/>
        <w:rPr>
          <w:sz w:val="20"/>
          <w:szCs w:val="20"/>
          <w:color w:val="auto"/>
        </w:rPr>
      </w:pPr>
      <w:r>
        <w:rPr>
          <w:rFonts w:ascii="Arial" w:cs="Arial" w:eastAsia="Arial" w:hAnsi="Arial"/>
          <w:sz w:val="14"/>
          <w:szCs w:val="14"/>
          <w:color w:val="auto"/>
        </w:rPr>
        <w:t>The Company operates and manages its business as one reportable segment and one operating segment, which is focused on the standard of care for patients suffering from autoimmune and inflammatory diseases. The CODM manages the Company’s operations on a consolidated basis, assesses performance for the operating segment and decides how to allocate resources based on consolidated net loss, which is reported on the consolidated statements of operations and comprehensive loss.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8" w:name="page269"/>
    <w:bookmarkEnd w:id="26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CODM uses consolidated net loss to evaluate the Company’s spend and monitor budget versus actual results. The monitoring of budgeted versus actual results is used in assessing the performance of the operating segment and in establishing resource allocation across the organization.</w:t>
      </w:r>
    </w:p>
    <w:p>
      <w:pPr>
        <w:spacing w:after="0" w:line="130" w:lineRule="exact"/>
        <w:rPr>
          <w:sz w:val="20"/>
          <w:szCs w:val="20"/>
          <w:color w:val="auto"/>
        </w:rPr>
      </w:pPr>
    </w:p>
    <w:p>
      <w:pPr>
        <w:jc w:val="both"/>
        <w:ind w:left="640" w:right="659"/>
        <w:spacing w:after="0" w:line="254" w:lineRule="auto"/>
        <w:rPr>
          <w:sz w:val="20"/>
          <w:szCs w:val="20"/>
          <w:color w:val="auto"/>
        </w:rPr>
      </w:pPr>
      <w:r>
        <w:rPr>
          <w:rFonts w:ascii="Arial" w:cs="Arial" w:eastAsia="Arial" w:hAnsi="Arial"/>
          <w:sz w:val="14"/>
          <w:szCs w:val="14"/>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w:t>
      </w:r>
    </w:p>
    <w:p>
      <w:pPr>
        <w:spacing w:after="0" w:line="135" w:lineRule="exact"/>
        <w:rPr>
          <w:sz w:val="20"/>
          <w:szCs w:val="20"/>
          <w:color w:val="auto"/>
        </w:rPr>
      </w:pPr>
    </w:p>
    <w:p>
      <w:pPr>
        <w:jc w:val="both"/>
        <w:ind w:left="640" w:right="659"/>
        <w:spacing w:after="0" w:line="282" w:lineRule="auto"/>
        <w:rPr>
          <w:sz w:val="20"/>
          <w:szCs w:val="20"/>
          <w:color w:val="auto"/>
        </w:rPr>
      </w:pPr>
      <w:r>
        <w:rPr>
          <w:rFonts w:ascii="Arial" w:cs="Arial" w:eastAsia="Arial" w:hAnsi="Arial"/>
          <w:sz w:val="14"/>
          <w:szCs w:val="14"/>
          <w:color w:val="auto"/>
        </w:rPr>
        <w:t>The measure of segment assets is reported on the consolidated balance sheets as total assets. The following table presents certain financial data for the Company’s reportable segment:</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Collaboration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-92075</wp:posOffset>
            </wp:positionV>
            <wp:extent cx="4909820" cy="1022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909820" cy="102235"/>
                    </a:xfrm>
                    <a:prstGeom prst="rect">
                      <a:avLst/>
                    </a:prstGeom>
                    <a:noFill/>
                  </pic:spPr>
                </pic:pic>
              </a:graphicData>
            </a:graphic>
          </wp:anchor>
        </w:drawing>
      </w:r>
    </w:p>
    <w:p>
      <w:pPr>
        <w:spacing w:after="0" w:line="141" w:lineRule="exact"/>
        <w:rPr>
          <w:sz w:val="20"/>
          <w:szCs w:val="20"/>
          <w:color w:val="auto"/>
        </w:rPr>
      </w:pPr>
    </w:p>
    <w:p>
      <w:pPr>
        <w:ind w:left="840"/>
        <w:spacing w:after="0" w:line="198" w:lineRule="auto"/>
        <w:rPr>
          <w:sz w:val="20"/>
          <w:szCs w:val="20"/>
          <w:color w:val="auto"/>
        </w:rPr>
      </w:pPr>
      <w:r>
        <w:rPr>
          <w:rFonts w:ascii="Arial" w:cs="Arial" w:eastAsia="Arial" w:hAnsi="Arial"/>
          <w:sz w:val="14"/>
          <w:szCs w:val="14"/>
          <w:color w:val="auto"/>
        </w:rPr>
        <w:t xml:space="preserve">Research and development expenses associated with preclinical and clinical studies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-188595</wp:posOffset>
            </wp:positionV>
            <wp:extent cx="4909820" cy="2044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909820" cy="204470"/>
                    </a:xfrm>
                    <a:prstGeom prst="rect">
                      <a:avLst/>
                    </a:prstGeom>
                    <a:noFill/>
                  </pic:spPr>
                </pic:pic>
              </a:graphicData>
            </a:graphic>
          </wp:anchor>
        </w:drawing>
      </w:r>
    </w:p>
    <w:p>
      <w:pPr>
        <w:ind w:left="840"/>
        <w:spacing w:after="0" w:line="202" w:lineRule="auto"/>
        <w:rPr>
          <w:sz w:val="20"/>
          <w:szCs w:val="20"/>
          <w:color w:val="auto"/>
        </w:rPr>
      </w:pPr>
      <w:r>
        <w:rPr>
          <w:rFonts w:ascii="Arial" w:cs="Arial" w:eastAsia="Arial" w:hAnsi="Arial"/>
          <w:sz w:val="14"/>
          <w:szCs w:val="14"/>
          <w:color w:val="auto"/>
        </w:rPr>
        <w:t xml:space="preserve">Facilities and related expenses, excluding depreciation and amortization </w:t>
      </w:r>
      <w:r>
        <w:rPr>
          <w:rFonts w:ascii="Arial" w:cs="Arial" w:eastAsia="Arial" w:hAnsi="Arial"/>
          <w:sz w:val="19"/>
          <w:szCs w:val="19"/>
          <w:color w:val="auto"/>
          <w:vertAlign w:val="superscript"/>
        </w:rPr>
        <w:t>(2)</w:t>
      </w:r>
    </w:p>
    <w:p>
      <w:pPr>
        <w:ind w:left="840"/>
        <w:spacing w:after="0" w:line="187" w:lineRule="auto"/>
        <w:rPr>
          <w:sz w:val="20"/>
          <w:szCs w:val="20"/>
          <w:color w:val="auto"/>
        </w:rPr>
      </w:pPr>
      <w:r>
        <w:rPr>
          <w:rFonts w:ascii="Arial" w:cs="Arial" w:eastAsia="Arial" w:hAnsi="Arial"/>
          <w:sz w:val="14"/>
          <w:szCs w:val="14"/>
          <w:color w:val="auto"/>
        </w:rPr>
        <w:t xml:space="preserve">General and corporate expenses </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-100965</wp:posOffset>
            </wp:positionV>
            <wp:extent cx="4909820" cy="1022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909820" cy="102235"/>
                    </a:xfrm>
                    <a:prstGeom prst="rect">
                      <a:avLst/>
                    </a:prstGeom>
                    <a:noFill/>
                  </pic:spPr>
                </pic:pic>
              </a:graphicData>
            </a:graphic>
          </wp:anchor>
        </w:drawing>
      </w:r>
    </w:p>
    <w:p>
      <w:pPr>
        <w:ind w:left="840" w:right="640"/>
        <w:spacing w:after="0" w:line="230" w:lineRule="auto"/>
        <w:rPr>
          <w:sz w:val="20"/>
          <w:szCs w:val="20"/>
          <w:color w:val="auto"/>
        </w:rPr>
      </w:pPr>
      <w:r>
        <w:rPr>
          <w:rFonts w:ascii="Arial" w:cs="Arial" w:eastAsia="Arial" w:hAnsi="Arial"/>
          <w:sz w:val="14"/>
          <w:szCs w:val="14"/>
          <w:color w:val="auto"/>
        </w:rPr>
        <w:t xml:space="preserve">Personnel-related expenses, excluding stock-based compensation Other segment items </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-127635</wp:posOffset>
            </wp:positionV>
            <wp:extent cx="4909820" cy="1092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909820" cy="10922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color w:val="auto"/>
        </w:rPr>
        <w:t>Segment net loss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2"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2" w:lineRule="exact"/>
              <w:rPr>
                <w:sz w:val="20"/>
                <w:szCs w:val="20"/>
                <w:color w:val="auto"/>
              </w:rPr>
            </w:pPr>
            <w:r>
              <w:rPr>
                <w:rFonts w:ascii="Arial" w:cs="Arial" w:eastAsia="Arial" w:hAnsi="Arial"/>
                <w:sz w:val="14"/>
                <w:szCs w:val="14"/>
                <w:b w:val="1"/>
                <w:bCs w:val="1"/>
                <w:color w:val="auto"/>
              </w:rPr>
              <w:t>2024</w:t>
            </w:r>
          </w:p>
        </w:tc>
      </w:tr>
      <w:tr>
        <w:trPr>
          <w:trHeight w:val="180"/>
        </w:trPr>
        <w:tc>
          <w:tcPr>
            <w:tcW w:w="2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2,976</w:t>
            </w:r>
          </w:p>
        </w:tc>
        <w:tc>
          <w:tcPr>
            <w:tcW w:w="1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4,472</w:t>
            </w:r>
          </w:p>
        </w:tc>
      </w:tr>
      <w:tr>
        <w:trPr>
          <w:trHeight w:val="383"/>
        </w:trPr>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64,540</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55,002</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11,992</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15,847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11,527</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46,739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47,296</w:t>
            </w:r>
          </w:p>
        </w:tc>
      </w:tr>
      <w:tr>
        <w:trPr>
          <w:trHeight w:val="176"/>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7,976</w:t>
            </w:r>
          </w:p>
        </w:tc>
      </w:tr>
      <w:tr>
        <w:trPr>
          <w:trHeight w:val="152"/>
        </w:trPr>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148,647</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129,321</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ectPr>
          <w:pgSz w:w="11900" w:h="16838" w:orient="portrait"/>
          <w:cols w:equalWidth="0" w:num="2">
            <w:col w:w="5680" w:space="460"/>
            <w:col w:w="2879"/>
          </w:cols>
          <w:pgMar w:left="1440" w:top="123" w:right="1440" w:bottom="1440" w:gutter="0" w:footer="0" w:header="0"/>
          <w:type w:val="continuous"/>
        </w:sectPr>
      </w:pPr>
    </w:p>
    <w:p>
      <w:pPr>
        <w:ind w:left="640" w:right="659" w:hanging="2"/>
        <w:spacing w:after="0" w:line="221" w:lineRule="auto"/>
        <w:tabs>
          <w:tab w:leader="none" w:pos="816" w:val="left"/>
        </w:tabs>
        <w:numPr>
          <w:ilvl w:val="0"/>
          <w:numId w:val="123"/>
        </w:numPr>
        <w:rPr>
          <w:rFonts w:ascii="Arial" w:cs="Arial" w:eastAsia="Arial" w:hAnsi="Arial"/>
          <w:sz w:val="19"/>
          <w:szCs w:val="19"/>
          <w:color w:val="auto"/>
          <w:vertAlign w:val="superscript"/>
        </w:rPr>
      </w:pPr>
      <w:r>
        <w:rPr>
          <w:rFonts w:ascii="Arial" w:cs="Arial" w:eastAsia="Arial" w:hAnsi="Arial"/>
          <w:sz w:val="14"/>
          <w:szCs w:val="14"/>
          <w:color w:val="auto"/>
        </w:rPr>
        <w:t>Research and development expenses associated with preclinical and clinical studies includes research software, professional services and laboratory operations supporting our research and development programs.</w:t>
      </w:r>
    </w:p>
    <w:p>
      <w:pPr>
        <w:spacing w:after="0" w:line="155" w:lineRule="exact"/>
        <w:rPr>
          <w:rFonts w:ascii="Arial" w:cs="Arial" w:eastAsia="Arial" w:hAnsi="Arial"/>
          <w:sz w:val="19"/>
          <w:szCs w:val="19"/>
          <w:color w:val="auto"/>
          <w:vertAlign w:val="superscript"/>
        </w:rPr>
      </w:pPr>
    </w:p>
    <w:p>
      <w:pPr>
        <w:ind w:left="640" w:right="659" w:hanging="2"/>
        <w:spacing w:after="0" w:line="249" w:lineRule="auto"/>
        <w:tabs>
          <w:tab w:leader="none" w:pos="784" w:val="left"/>
        </w:tabs>
        <w:numPr>
          <w:ilvl w:val="0"/>
          <w:numId w:val="123"/>
        </w:numPr>
        <w:rPr>
          <w:rFonts w:ascii="Arial" w:cs="Arial" w:eastAsia="Arial" w:hAnsi="Arial"/>
          <w:sz w:val="17"/>
          <w:szCs w:val="17"/>
          <w:color w:val="auto"/>
          <w:vertAlign w:val="superscript"/>
        </w:rPr>
      </w:pPr>
      <w:r>
        <w:rPr>
          <w:rFonts w:ascii="Arial" w:cs="Arial" w:eastAsia="Arial" w:hAnsi="Arial"/>
          <w:sz w:val="13"/>
          <w:szCs w:val="13"/>
          <w:color w:val="auto"/>
        </w:rPr>
        <w:t>Facilities and related expenses includes rent, common area maintenance costs, repairs and maintenance, utilities and real estate taxes.</w:t>
      </w:r>
    </w:p>
    <w:p>
      <w:pPr>
        <w:spacing w:after="0" w:line="146" w:lineRule="exact"/>
        <w:rPr>
          <w:rFonts w:ascii="Arial" w:cs="Arial" w:eastAsia="Arial" w:hAnsi="Arial"/>
          <w:sz w:val="17"/>
          <w:szCs w:val="17"/>
          <w:color w:val="auto"/>
          <w:vertAlign w:val="superscript"/>
        </w:rPr>
      </w:pPr>
    </w:p>
    <w:p>
      <w:pPr>
        <w:ind w:left="640" w:right="659" w:hanging="2"/>
        <w:spacing w:after="0" w:line="221" w:lineRule="auto"/>
        <w:tabs>
          <w:tab w:leader="none" w:pos="804" w:val="left"/>
        </w:tabs>
        <w:numPr>
          <w:ilvl w:val="0"/>
          <w:numId w:val="123"/>
        </w:numPr>
        <w:rPr>
          <w:rFonts w:ascii="Arial" w:cs="Arial" w:eastAsia="Arial" w:hAnsi="Arial"/>
          <w:sz w:val="19"/>
          <w:szCs w:val="19"/>
          <w:color w:val="auto"/>
          <w:vertAlign w:val="superscript"/>
        </w:rPr>
      </w:pPr>
      <w:r>
        <w:rPr>
          <w:rFonts w:ascii="Arial" w:cs="Arial" w:eastAsia="Arial" w:hAnsi="Arial"/>
          <w:sz w:val="14"/>
          <w:szCs w:val="14"/>
          <w:color w:val="auto"/>
        </w:rPr>
        <w:t>General and corporate expenses include general and administrative costs associated with professional and consulting fees and other overhead costs.</w:t>
      </w:r>
    </w:p>
    <w:p>
      <w:pPr>
        <w:spacing w:after="0" w:line="150" w:lineRule="exact"/>
        <w:rPr>
          <w:sz w:val="20"/>
          <w:szCs w:val="20"/>
          <w:color w:val="auto"/>
        </w:rPr>
      </w:pPr>
    </w:p>
    <w:p>
      <w:pPr>
        <w:jc w:val="both"/>
        <w:ind w:left="640" w:right="659"/>
        <w:spacing w:after="0" w:line="233"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4"/>
          <w:szCs w:val="14"/>
          <w:color w:val="auto"/>
        </w:rPr>
        <w:t>For the year ended December 31, 2025, other segment items consist of interest income, stock-based compensation expense, depreciation and amortization expense, change in fair value of contingent consideration expense, income tax (benefit) provision and other (income) expense, net. Interest income consists of interest income earned on cash equivalents and marketable securities. Interest expense consists of interest expense on our finance leases. Other (income) expense, net primarily consists of realized and unrealized gains and losses on marketable securities.</w:t>
      </w:r>
    </w:p>
    <w:p>
      <w:pPr>
        <w:spacing w:after="0" w:line="145" w:lineRule="exact"/>
        <w:rPr>
          <w:sz w:val="20"/>
          <w:szCs w:val="20"/>
          <w:color w:val="auto"/>
        </w:rPr>
      </w:pPr>
    </w:p>
    <w:p>
      <w:pPr>
        <w:ind w:left="1160" w:hanging="522"/>
        <w:spacing w:after="0"/>
        <w:tabs>
          <w:tab w:leader="none" w:pos="1160" w:val="left"/>
        </w:tabs>
        <w:numPr>
          <w:ilvl w:val="0"/>
          <w:numId w:val="124"/>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72"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4"/>
          <w:szCs w:val="14"/>
          <w:color w:val="auto"/>
        </w:rPr>
        <w:t>The Company has evaluated subsequent events through March 16, 2026, the date these audited consolidated financial statements were available to be issued. There were no subsequent events that required adjustments to or disclosure in the financial statements.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69" w:name="page270"/>
    <w:bookmarkEnd w:id="26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474345</wp:posOffset>
            </wp:positionV>
            <wp:extent cx="4909820" cy="203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909820" cy="2032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549275</wp:posOffset>
            </wp:positionV>
            <wp:extent cx="490982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267970</wp:posOffset>
            </wp:positionV>
            <wp:extent cx="1486535" cy="402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4865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Odyssey Therapeutics, Inc.</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1277620</wp:posOffset>
            </wp:positionV>
            <wp:extent cx="69532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5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111125</wp:posOffset>
            </wp:positionV>
            <wp:extent cx="69532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53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TD 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Cantor</w:t>
      </w:r>
    </w:p>
    <w:p>
      <w:pPr>
        <w:spacing w:after="0" w:line="167" w:lineRule="exact"/>
        <w:rPr>
          <w:sz w:val="20"/>
          <w:szCs w:val="20"/>
          <w:color w:val="auto"/>
        </w:rPr>
      </w:pPr>
    </w:p>
    <w:p>
      <w:pPr>
        <w:sectPr>
          <w:pgSz w:w="11900" w:h="16838" w:orient="portrait"/>
          <w:cols w:equalWidth="0" w:num="3">
            <w:col w:w="3360" w:space="720"/>
            <w:col w:w="2000" w:space="720"/>
            <w:col w:w="2219"/>
          </w:cols>
          <w:pgMar w:left="1440" w:top="123" w:right="1440"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Wedbush PacGrow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Oppenheimer &amp; Co.</w:t>
      </w:r>
    </w:p>
    <w:p>
      <w:pPr>
        <w:spacing w:after="0" w:line="161" w:lineRule="exact"/>
        <w:rPr>
          <w:sz w:val="20"/>
          <w:szCs w:val="20"/>
          <w:color w:val="auto"/>
        </w:rPr>
      </w:pPr>
    </w:p>
    <w:p>
      <w:pPr>
        <w:sectPr>
          <w:pgSz w:w="11900" w:h="16838" w:orient="portrait"/>
          <w:cols w:equalWidth="0" w:num="2">
            <w:col w:w="5080" w:space="720"/>
            <w:col w:w="3219"/>
          </w:cols>
          <w:pgMar w:left="1440" w:top="123" w:right="1440"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 2026</w:t>
      </w:r>
    </w:p>
    <w:p>
      <w:pPr>
        <w:spacing w:after="0" w:line="183" w:lineRule="exact"/>
        <w:rPr>
          <w:sz w:val="20"/>
          <w:szCs w:val="20"/>
          <w:color w:val="auto"/>
        </w:rPr>
      </w:pPr>
    </w:p>
    <w:p>
      <w:pPr>
        <w:ind w:left="1080"/>
        <w:spacing w:after="0"/>
        <w:tabs>
          <w:tab w:leader="none" w:pos="3080" w:val="left"/>
        </w:tabs>
        <w:rPr>
          <w:sz w:val="20"/>
          <w:szCs w:val="20"/>
          <w:color w:val="auto"/>
        </w:rPr>
      </w:pPr>
      <w:r>
        <w:rPr>
          <w:rFonts w:ascii="Arial" w:cs="Arial" w:eastAsia="Arial" w:hAnsi="Arial"/>
          <w:sz w:val="14"/>
          <w:szCs w:val="14"/>
          <w:b w:val="1"/>
          <w:bCs w:val="1"/>
          <w:color w:val="auto"/>
        </w:rPr>
        <w:t xml:space="preserve">Through and including       </w:t>
        <w:tab/>
        <w:t>, 2026 (25 days after the date of this prospectus), all dealers effecting</w:t>
      </w:r>
    </w:p>
    <w:p>
      <w:pPr>
        <w:sectPr>
          <w:pgSz w:w="11900" w:h="16838" w:orient="portrait"/>
          <w:cols w:equalWidth="0" w:num="1">
            <w:col w:w="9019"/>
          </w:cols>
          <w:pgMar w:left="1440" w:top="123" w:right="1440" w:bottom="1440" w:gutter="0" w:footer="0" w:header="0"/>
          <w:type w:val="continuous"/>
        </w:sectPr>
      </w:pPr>
    </w:p>
    <w:p>
      <w:pPr>
        <w:spacing w:after="0" w:line="35" w:lineRule="exact"/>
        <w:rPr>
          <w:sz w:val="20"/>
          <w:szCs w:val="20"/>
          <w:color w:val="auto"/>
        </w:rPr>
      </w:pPr>
    </w:p>
    <w:p>
      <w:pPr>
        <w:ind w:left="640" w:right="879"/>
        <w:spacing w:after="0"/>
        <w:rPr>
          <w:sz w:val="20"/>
          <w:szCs w:val="20"/>
          <w:color w:val="auto"/>
        </w:rPr>
      </w:pPr>
      <w:r>
        <w:rPr>
          <w:rFonts w:ascii="Arial" w:cs="Arial" w:eastAsia="Arial" w:hAnsi="Arial"/>
          <w:sz w:val="14"/>
          <w:szCs w:val="14"/>
          <w:b w:val="1"/>
          <w:bCs w:val="1"/>
          <w:color w:val="auto"/>
        </w:rPr>
        <w:t>transactions in these securities, whether or not participating in this offering, may be required to deliver a prospectus. This in addition to a dealer’s obligation to deliver a prospectus when acting as an underwriter and with respect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643255</wp:posOffset>
            </wp:positionV>
            <wp:extent cx="560387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41910</wp:posOffset>
            </wp:positionV>
            <wp:extent cx="4909820"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110490</wp:posOffset>
            </wp:positionV>
            <wp:extent cx="4909820" cy="203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909820" cy="203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70" w:name="page271"/>
    <w:bookmarkEnd w:id="27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86" w:lineRule="exact"/>
        <w:rPr>
          <w:sz w:val="20"/>
          <w:szCs w:val="20"/>
          <w:color w:val="auto"/>
        </w:rPr>
      </w:pPr>
    </w:p>
    <w:p>
      <w:pPr>
        <w:ind w:left="640" w:right="799" w:firstLine="438"/>
        <w:spacing w:after="0" w:line="254" w:lineRule="auto"/>
        <w:rPr>
          <w:sz w:val="20"/>
          <w:szCs w:val="20"/>
          <w:color w:val="auto"/>
        </w:rPr>
      </w:pPr>
      <w:r>
        <w:rPr>
          <w:rFonts w:ascii="Arial" w:cs="Arial" w:eastAsia="Arial" w:hAnsi="Arial"/>
          <w:sz w:val="14"/>
          <w:szCs w:val="14"/>
          <w:color w:val="auto"/>
        </w:rPr>
        <w:t>The following table sets forth all expenses to be paid by Odyssey Therapeutics, Inc., or the Registrant, other than underwriting discounts and commissions, incurred or to be incurred in connection with this offering. All amounts shown are estimates except for the SEC registration fee, the Financial Industry Regulatory Authority, Inc. filing fee and the Nasdaq Stock Market LLC listing fee.</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80" w:type="dxa"/>
            <w:vAlign w:val="bottom"/>
          </w:tcPr>
          <w:p>
            <w:pPr>
              <w:spacing w:after="0"/>
              <w:rPr>
                <w:sz w:val="20"/>
                <w:szCs w:val="20"/>
                <w:color w:val="auto"/>
              </w:rPr>
            </w:pPr>
            <w:r>
              <w:rPr>
                <w:rFonts w:ascii="Arial" w:cs="Arial" w:eastAsia="Arial" w:hAnsi="Arial"/>
                <w:sz w:val="14"/>
                <w:szCs w:val="14"/>
                <w:color w:val="auto"/>
              </w:rPr>
              <w:t>SEC registration fee</w:t>
            </w:r>
          </w:p>
        </w:tc>
        <w:tc>
          <w:tcPr>
            <w:tcW w:w="216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1"/>
        </w:trPr>
        <w:tc>
          <w:tcPr>
            <w:tcW w:w="4980" w:type="dxa"/>
            <w:vAlign w:val="bottom"/>
          </w:tcPr>
          <w:p>
            <w:pPr>
              <w:spacing w:after="0"/>
              <w:rPr>
                <w:sz w:val="20"/>
                <w:szCs w:val="20"/>
                <w:color w:val="auto"/>
              </w:rPr>
            </w:pPr>
            <w:r>
              <w:rPr>
                <w:rFonts w:ascii="Arial" w:cs="Arial" w:eastAsia="Arial" w:hAnsi="Arial"/>
                <w:sz w:val="14"/>
                <w:szCs w:val="14"/>
                <w:color w:val="auto"/>
              </w:rPr>
              <w:t>Financial Industry Regulatory Authority, Inc. filing fee</w:t>
            </w: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1"/>
        </w:trPr>
        <w:tc>
          <w:tcPr>
            <w:tcW w:w="4980" w:type="dxa"/>
            <w:vAlign w:val="bottom"/>
          </w:tcPr>
          <w:p>
            <w:pPr>
              <w:spacing w:after="0"/>
              <w:rPr>
                <w:sz w:val="20"/>
                <w:szCs w:val="20"/>
                <w:color w:val="auto"/>
              </w:rPr>
            </w:pPr>
            <w:r>
              <w:rPr>
                <w:rFonts w:ascii="Arial" w:cs="Arial" w:eastAsia="Arial" w:hAnsi="Arial"/>
                <w:sz w:val="14"/>
                <w:szCs w:val="14"/>
                <w:color w:val="auto"/>
              </w:rPr>
              <w:t>Nasdaq listing fee</w:t>
            </w: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1"/>
        </w:trPr>
        <w:tc>
          <w:tcPr>
            <w:tcW w:w="4980" w:type="dxa"/>
            <w:vAlign w:val="bottom"/>
          </w:tcPr>
          <w:p>
            <w:pPr>
              <w:spacing w:after="0"/>
              <w:rPr>
                <w:sz w:val="20"/>
                <w:szCs w:val="20"/>
                <w:color w:val="auto"/>
              </w:rPr>
            </w:pPr>
            <w:r>
              <w:rPr>
                <w:rFonts w:ascii="Arial" w:cs="Arial" w:eastAsia="Arial" w:hAnsi="Arial"/>
                <w:sz w:val="14"/>
                <w:szCs w:val="14"/>
                <w:color w:val="auto"/>
              </w:rPr>
              <w:t>Printing and engraving expenses</w:t>
            </w: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1"/>
        </w:trPr>
        <w:tc>
          <w:tcPr>
            <w:tcW w:w="4980" w:type="dxa"/>
            <w:vAlign w:val="bottom"/>
          </w:tcPr>
          <w:p>
            <w:pPr>
              <w:spacing w:after="0"/>
              <w:rPr>
                <w:sz w:val="20"/>
                <w:szCs w:val="20"/>
                <w:color w:val="auto"/>
              </w:rPr>
            </w:pPr>
            <w:r>
              <w:rPr>
                <w:rFonts w:ascii="Arial" w:cs="Arial" w:eastAsia="Arial" w:hAnsi="Arial"/>
                <w:sz w:val="14"/>
                <w:szCs w:val="14"/>
                <w:color w:val="auto"/>
              </w:rPr>
              <w:t>Legal fees and expenses</w:t>
            </w: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1"/>
        </w:trPr>
        <w:tc>
          <w:tcPr>
            <w:tcW w:w="4980" w:type="dxa"/>
            <w:vAlign w:val="bottom"/>
          </w:tcPr>
          <w:p>
            <w:pPr>
              <w:spacing w:after="0"/>
              <w:rPr>
                <w:sz w:val="20"/>
                <w:szCs w:val="20"/>
                <w:color w:val="auto"/>
              </w:rPr>
            </w:pPr>
            <w:r>
              <w:rPr>
                <w:rFonts w:ascii="Arial" w:cs="Arial" w:eastAsia="Arial" w:hAnsi="Arial"/>
                <w:sz w:val="14"/>
                <w:szCs w:val="14"/>
                <w:color w:val="auto"/>
              </w:rPr>
              <w:t>Accounting fees and expenses</w:t>
            </w: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1"/>
        </w:trPr>
        <w:tc>
          <w:tcPr>
            <w:tcW w:w="4980" w:type="dxa"/>
            <w:vAlign w:val="bottom"/>
          </w:tcPr>
          <w:p>
            <w:pPr>
              <w:spacing w:after="0"/>
              <w:rPr>
                <w:sz w:val="20"/>
                <w:szCs w:val="20"/>
                <w:color w:val="auto"/>
              </w:rPr>
            </w:pPr>
            <w:r>
              <w:rPr>
                <w:rFonts w:ascii="Arial" w:cs="Arial" w:eastAsia="Arial" w:hAnsi="Arial"/>
                <w:sz w:val="14"/>
                <w:szCs w:val="14"/>
                <w:color w:val="auto"/>
              </w:rPr>
              <w:t>Transfer agent and registrar fees</w:t>
            </w: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4980" w:type="dxa"/>
            <w:vAlign w:val="bottom"/>
          </w:tcPr>
          <w:p>
            <w:pPr>
              <w:spacing w:after="0"/>
              <w:rPr>
                <w:sz w:val="20"/>
                <w:szCs w:val="20"/>
                <w:color w:val="auto"/>
              </w:rPr>
            </w:pPr>
            <w:r>
              <w:rPr>
                <w:rFonts w:ascii="Arial" w:cs="Arial" w:eastAsia="Arial" w:hAnsi="Arial"/>
                <w:sz w:val="14"/>
                <w:szCs w:val="14"/>
                <w:color w:val="auto"/>
              </w:rPr>
              <w:t>Miscellaneous expenses</w:t>
            </w:r>
          </w:p>
        </w:tc>
        <w:tc>
          <w:tcPr>
            <w:tcW w:w="16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53"/>
        </w:trPr>
        <w:tc>
          <w:tcPr>
            <w:tcW w:w="4980" w:type="dxa"/>
            <w:vAlign w:val="bottom"/>
          </w:tcPr>
          <w:p>
            <w:pPr>
              <w:ind w:left="340"/>
              <w:spacing w:after="0" w:line="152" w:lineRule="exact"/>
              <w:rPr>
                <w:sz w:val="20"/>
                <w:szCs w:val="20"/>
                <w:color w:val="auto"/>
              </w:rPr>
            </w:pPr>
            <w:r>
              <w:rPr>
                <w:rFonts w:ascii="Arial" w:cs="Arial" w:eastAsia="Arial" w:hAnsi="Arial"/>
                <w:sz w:val="14"/>
                <w:szCs w:val="14"/>
                <w:color w:val="auto"/>
              </w:rPr>
              <w:t>Total</w:t>
            </w:r>
          </w:p>
        </w:tc>
        <w:tc>
          <w:tcPr>
            <w:tcW w:w="162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5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rPr>
              <w:t>*</w:t>
            </w:r>
          </w:p>
        </w:tc>
      </w:tr>
      <w:tr>
        <w:trPr>
          <w:trHeight w:val="336"/>
        </w:trPr>
        <w:tc>
          <w:tcPr>
            <w:tcW w:w="4980" w:type="dxa"/>
            <w:vAlign w:val="bottom"/>
          </w:tcPr>
          <w:p>
            <w:pPr>
              <w:ind w:left="80"/>
              <w:spacing w:after="0"/>
              <w:rPr>
                <w:sz w:val="20"/>
                <w:szCs w:val="20"/>
                <w:color w:val="auto"/>
              </w:rPr>
            </w:pPr>
            <w:r>
              <w:rPr>
                <w:rFonts w:ascii="Arial" w:cs="Arial" w:eastAsia="Arial" w:hAnsi="Arial"/>
                <w:sz w:val="14"/>
                <w:szCs w:val="14"/>
                <w:color w:val="auto"/>
              </w:rPr>
              <w:t>* To be provided by amendment.</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4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86" w:lineRule="exact"/>
        <w:rPr>
          <w:sz w:val="20"/>
          <w:szCs w:val="20"/>
          <w:color w:val="auto"/>
        </w:rPr>
      </w:pPr>
    </w:p>
    <w:p>
      <w:pPr>
        <w:ind w:left="640" w:right="819" w:firstLine="443"/>
        <w:spacing w:after="0" w:line="282" w:lineRule="auto"/>
        <w:rPr>
          <w:sz w:val="20"/>
          <w:szCs w:val="20"/>
          <w:color w:val="auto"/>
        </w:rPr>
      </w:pPr>
      <w:r>
        <w:rPr>
          <w:rFonts w:ascii="Arial" w:cs="Arial" w:eastAsia="Arial" w:hAnsi="Arial"/>
          <w:sz w:val="14"/>
          <w:szCs w:val="14"/>
          <w:color w:val="auto"/>
        </w:rPr>
        <w:t>Section 145 of the DGCL, authorizes a corporation’s board of directors to grant, and authorizes a court to award, indemnity to officers, directors and other corporate agents.</w:t>
      </w:r>
    </w:p>
    <w:p>
      <w:pPr>
        <w:spacing w:after="0" w:line="30" w:lineRule="exact"/>
        <w:rPr>
          <w:sz w:val="20"/>
          <w:szCs w:val="20"/>
          <w:color w:val="auto"/>
        </w:rPr>
      </w:pPr>
    </w:p>
    <w:p>
      <w:pPr>
        <w:ind w:left="640" w:right="759" w:firstLine="443"/>
        <w:spacing w:after="0" w:line="261" w:lineRule="auto"/>
        <w:rPr>
          <w:sz w:val="20"/>
          <w:szCs w:val="20"/>
          <w:color w:val="auto"/>
        </w:rPr>
      </w:pPr>
      <w:r>
        <w:rPr>
          <w:rFonts w:ascii="Arial" w:cs="Arial" w:eastAsia="Arial" w:hAnsi="Arial"/>
          <w:sz w:val="14"/>
          <w:szCs w:val="14"/>
          <w:color w:val="auto"/>
        </w:rPr>
        <w:t>Prior to the completion of the offering, the Registrant expects to adopt a Certificate of Incorporation and Bylaws, which will become effective immediately prior to the completion of the offering, and which will contain provisions that limit the liability of the Registrant’s directors and officers for monetary damages to the fullest extent permitted by law.</w:t>
      </w:r>
    </w:p>
    <w:p>
      <w:pPr>
        <w:spacing w:after="0" w:line="44" w:lineRule="exact"/>
        <w:rPr>
          <w:sz w:val="20"/>
          <w:szCs w:val="20"/>
          <w:color w:val="auto"/>
        </w:rPr>
      </w:pPr>
    </w:p>
    <w:p>
      <w:pPr>
        <w:ind w:left="640" w:right="679" w:firstLine="443"/>
        <w:spacing w:after="0" w:line="254" w:lineRule="auto"/>
        <w:rPr>
          <w:sz w:val="20"/>
          <w:szCs w:val="20"/>
          <w:color w:val="auto"/>
        </w:rPr>
      </w:pPr>
      <w:r>
        <w:rPr>
          <w:rFonts w:ascii="Arial" w:cs="Arial" w:eastAsia="Arial" w:hAnsi="Arial"/>
          <w:sz w:val="14"/>
          <w:szCs w:val="14"/>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the Registrant’s directors and officers will be further limited to the greatest extent permitted by the DGCL.</w:t>
      </w:r>
    </w:p>
    <w:p>
      <w:pPr>
        <w:spacing w:after="0" w:line="49" w:lineRule="exact"/>
        <w:rPr>
          <w:sz w:val="20"/>
          <w:szCs w:val="20"/>
          <w:color w:val="auto"/>
        </w:rPr>
      </w:pPr>
    </w:p>
    <w:p>
      <w:pPr>
        <w:ind w:left="640" w:right="659" w:firstLine="443"/>
        <w:spacing w:after="0" w:line="246" w:lineRule="auto"/>
        <w:rPr>
          <w:sz w:val="20"/>
          <w:szCs w:val="20"/>
          <w:color w:val="auto"/>
        </w:rPr>
      </w:pPr>
      <w:r>
        <w:rPr>
          <w:rFonts w:ascii="Arial" w:cs="Arial" w:eastAsia="Arial" w:hAnsi="Arial"/>
          <w:sz w:val="14"/>
          <w:szCs w:val="14"/>
          <w:color w:val="auto"/>
        </w:rPr>
        <w:t>The Registrant’s Certificate of Incorporation will also provide that the Registrant will indemnify, to the fullest extent permitted by law, each person who is or was made a party or is threatened to be made a party to or is otherwise involved in any threatened, pending or completed action, suit or proceeding, whether civil, criminal, administrative or investigative by reason of the fact that he or she is or was a director or officer of the Registrant or, while a director or officer of the Registrant, is or was serving at the request of the Registrant as a director, officer, employee or agent of another corporation or of a partnership, joint venture, trust, other enterprise or nonprofit entity. In addition, the Registrant’s Certificate of Incorporation will provide that the Registrant must advance expenses incurred by or on behalf of a director or officer in advance of the final disposition of any action or proceeding, subject to very limited exceptions.</w:t>
      </w:r>
    </w:p>
    <w:p>
      <w:pPr>
        <w:spacing w:after="0" w:line="54"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Further, prior to the completion of this offering, the Registrant expects to enter into indemnification agreements with each of its directors and executive officers that may be broader than the specific indemnification provisions contained in the DGCL. These indemnification agreements will require the Registrant, among other things, to indemnify its directors and executive officers against liabilities that may arise by reason of their status or service. These indemnification agreements will also require the Registrant to advance all expenses incurred by the directors and executive officers in investigating or defending any such action, suit or proceeding, subject to certain exceptions. The Registrant believes that these agreements are necessary to attract and retain qualified individuals to serve as directors and executive officers.</w:t>
      </w:r>
    </w:p>
    <w:p>
      <w:pPr>
        <w:spacing w:after="0" w:line="54" w:lineRule="exact"/>
        <w:rPr>
          <w:sz w:val="20"/>
          <w:szCs w:val="20"/>
          <w:color w:val="auto"/>
        </w:rPr>
      </w:pPr>
    </w:p>
    <w:p>
      <w:pPr>
        <w:ind w:left="640" w:right="699" w:firstLine="443"/>
        <w:spacing w:after="0" w:line="244" w:lineRule="auto"/>
        <w:rPr>
          <w:sz w:val="20"/>
          <w:szCs w:val="20"/>
          <w:color w:val="auto"/>
        </w:rPr>
      </w:pPr>
      <w:r>
        <w:rPr>
          <w:rFonts w:ascii="Arial" w:cs="Arial" w:eastAsia="Arial" w:hAnsi="Arial"/>
          <w:sz w:val="14"/>
          <w:szCs w:val="14"/>
          <w:color w:val="auto"/>
        </w:rPr>
        <w:t>The limitation of liability and indemnification provisions that will be included in the Registrant’s Certificate of Incorporation, Bylaws and in indemnification agreements that the Registrant enters into with its directors and executive officers may discourage stockholders from bringing a lawsuit against its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its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1" w:name="page272"/>
    <w:bookmarkEnd w:id="27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659" w:firstLine="443"/>
        <w:spacing w:after="0" w:line="244" w:lineRule="auto"/>
        <w:rPr>
          <w:sz w:val="20"/>
          <w:szCs w:val="20"/>
          <w:color w:val="auto"/>
        </w:rPr>
      </w:pPr>
      <w:r>
        <w:rPr>
          <w:rFonts w:ascii="Arial" w:cs="Arial" w:eastAsia="Arial" w:hAnsi="Arial"/>
          <w:sz w:val="14"/>
          <w:szCs w:val="14"/>
          <w:color w:val="auto"/>
        </w:rPr>
        <w:t>The Registrant’s Bylaws will provide that the Registrant may purchase and maintain insurance, at its expense, to protect itself and any person who is or was a director, officer, employee or agent of the Registrant or is or was serving at its request as a director, officer, employee or agent of another corporation, partnership, joint venture, trust or other enterprise against any expense, liability or loss, whether or not the Registrant would have the power to indemnity such person against such expense, liability or loss under the DGCL. The Registrant will obtain prior to the closing of this offering insurance under which, subject to the limitations of the insurance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the Registrant’s indemnification obligations or otherwise as a matter of law.</w:t>
      </w:r>
    </w:p>
    <w:p>
      <w:pPr>
        <w:spacing w:after="0" w:line="60" w:lineRule="exact"/>
        <w:rPr>
          <w:sz w:val="20"/>
          <w:szCs w:val="20"/>
          <w:color w:val="auto"/>
        </w:rPr>
      </w:pPr>
    </w:p>
    <w:p>
      <w:pPr>
        <w:ind w:left="640" w:right="899" w:firstLine="443"/>
        <w:spacing w:after="0" w:line="261" w:lineRule="auto"/>
        <w:rPr>
          <w:sz w:val="20"/>
          <w:szCs w:val="20"/>
          <w:color w:val="auto"/>
        </w:rPr>
      </w:pPr>
      <w:r>
        <w:rPr>
          <w:rFonts w:ascii="Arial" w:cs="Arial" w:eastAsia="Arial" w:hAnsi="Arial"/>
          <w:sz w:val="14"/>
          <w:szCs w:val="14"/>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Since January 1, 2023, the Registrant has issued the following securities that were not registered under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Securities Act: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Issuances of Options to Purchase Common Stock and Common Stock Upon Exercise of Options</w:t>
      </w:r>
    </w:p>
    <w:p>
      <w:pPr>
        <w:spacing w:after="0" w:line="84" w:lineRule="exact"/>
        <w:rPr>
          <w:sz w:val="20"/>
          <w:szCs w:val="20"/>
          <w:color w:val="auto"/>
        </w:rPr>
      </w:pPr>
    </w:p>
    <w:p>
      <w:pPr>
        <w:ind w:left="640" w:right="679" w:firstLine="443"/>
        <w:spacing w:after="0" w:line="254" w:lineRule="auto"/>
        <w:rPr>
          <w:sz w:val="20"/>
          <w:szCs w:val="20"/>
          <w:color w:val="auto"/>
        </w:rPr>
      </w:pPr>
      <w:r>
        <w:rPr>
          <w:rFonts w:ascii="Arial" w:cs="Arial" w:eastAsia="Arial" w:hAnsi="Arial"/>
          <w:sz w:val="14"/>
          <w:szCs w:val="14"/>
          <w:color w:val="auto"/>
        </w:rPr>
        <w:t>From January 1, 2023 through the date of this registration statement, the Registrant granted options to purchase an aggregate of           shares of the Registrant’s common stock to certain of the Registrant’s employees, consultants and directors under 2021 Equity Incentive Plan, as amended to date, or the 2021 Plan, having exercise prices ranging from $          to $          per share.</w:t>
      </w:r>
    </w:p>
    <w:p>
      <w:pPr>
        <w:spacing w:after="0" w:line="49" w:lineRule="exact"/>
        <w:rPr>
          <w:sz w:val="20"/>
          <w:szCs w:val="20"/>
          <w:color w:val="auto"/>
        </w:rPr>
      </w:pPr>
    </w:p>
    <w:p>
      <w:pPr>
        <w:ind w:left="640" w:right="799" w:firstLine="443"/>
        <w:spacing w:after="0" w:line="250" w:lineRule="auto"/>
        <w:rPr>
          <w:sz w:val="20"/>
          <w:szCs w:val="20"/>
          <w:color w:val="auto"/>
        </w:rPr>
      </w:pPr>
      <w:r>
        <w:rPr>
          <w:rFonts w:ascii="Arial" w:cs="Arial" w:eastAsia="Arial" w:hAnsi="Arial"/>
          <w:sz w:val="14"/>
          <w:szCs w:val="14"/>
          <w:color w:val="auto"/>
        </w:rPr>
        <w:t>From January 1, 2023 through the date of this registration statement, the Registrant issued to certain of the Registrant’s employees, consultants and directors an aggregate of           shares of the Registrant’s common stock</w:t>
      </w:r>
    </w:p>
    <w:p>
      <w:pPr>
        <w:spacing w:after="0" w:line="1" w:lineRule="exact"/>
        <w:rPr>
          <w:sz w:val="20"/>
          <w:szCs w:val="20"/>
          <w:color w:val="auto"/>
        </w:rPr>
      </w:pPr>
    </w:p>
    <w:p>
      <w:pPr>
        <w:ind w:left="640" w:right="759"/>
        <w:spacing w:after="0" w:line="261" w:lineRule="auto"/>
        <w:rPr>
          <w:sz w:val="20"/>
          <w:szCs w:val="20"/>
          <w:color w:val="auto"/>
        </w:rPr>
      </w:pPr>
      <w:r>
        <w:rPr>
          <w:rFonts w:ascii="Arial" w:cs="Arial" w:eastAsia="Arial" w:hAnsi="Arial"/>
          <w:sz w:val="14"/>
          <w:szCs w:val="14"/>
          <w:color w:val="auto"/>
        </w:rPr>
        <w:t>at a per share price ranging from $          to $          per share pursuant to exercises of options under the 2021 Plan for an aggregate purchase price of $          .</w:t>
      </w:r>
    </w:p>
    <w:p>
      <w:pPr>
        <w:spacing w:after="0" w:line="44" w:lineRule="exact"/>
        <w:rPr>
          <w:sz w:val="20"/>
          <w:szCs w:val="20"/>
          <w:color w:val="auto"/>
        </w:rPr>
      </w:pPr>
    </w:p>
    <w:p>
      <w:pPr>
        <w:ind w:left="640" w:right="679" w:firstLine="443"/>
        <w:spacing w:after="0" w:line="246" w:lineRule="auto"/>
        <w:rPr>
          <w:sz w:val="20"/>
          <w:szCs w:val="20"/>
          <w:color w:val="auto"/>
        </w:rPr>
      </w:pPr>
      <w:r>
        <w:rPr>
          <w:rFonts w:ascii="Arial" w:cs="Arial" w:eastAsia="Arial" w:hAnsi="Arial"/>
          <w:sz w:val="14"/>
          <w:szCs w:val="14"/>
          <w:color w:val="auto"/>
        </w:rPr>
        <w:t>The offers, sales and issuances of the securities described in the preceding paragraphs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the Registrant’s employees, directors or consultants and received the securities under the 2021 Plan. Appropriate legends were affixed to the securities issued in these transactions. Each of the recipients of securities in these transactions had adequate access, through employment, business or other relationships, to information about the Registrant.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Issuances of Convertible Preferred Stock</w:t>
      </w:r>
    </w:p>
    <w:p>
      <w:pPr>
        <w:spacing w:after="0" w:line="84" w:lineRule="exact"/>
        <w:rPr>
          <w:sz w:val="20"/>
          <w:szCs w:val="20"/>
          <w:color w:val="auto"/>
        </w:rPr>
      </w:pPr>
    </w:p>
    <w:p>
      <w:pPr>
        <w:ind w:left="640" w:right="659" w:firstLine="443"/>
        <w:spacing w:after="0" w:line="247" w:lineRule="auto"/>
        <w:rPr>
          <w:sz w:val="20"/>
          <w:szCs w:val="20"/>
          <w:color w:val="auto"/>
        </w:rPr>
      </w:pPr>
      <w:r>
        <w:rPr>
          <w:rFonts w:ascii="Arial" w:cs="Arial" w:eastAsia="Arial" w:hAnsi="Arial"/>
          <w:sz w:val="14"/>
          <w:szCs w:val="14"/>
          <w:color w:val="auto"/>
        </w:rPr>
        <w:t>In multiple closings held between January 1, 2023 and the date hereof, the Registrant issued and sold an aggregate of (i) 23,442,000 shares of its Series C convertible preferred stock at a purchase price of $5.00 per share for an aggregate purchase price of approximately $117.2 million, (ii) 1,459,598 shares of its Series C-1 convertible preferred stock at a price per share of $5.1384 for an aggregate purchase price of approximately $7.5 million to one accredited investor and (iii) (A) 141,950,377 shares of its Series D convertible preferred stock at a purchase price of $1.50497 per share, for an aggregate purchase price of approximately $213.6 million and (B) warrants to purchase an aggregate of 39,414,039 shares of common stock at an exercise price of $0.01 per share.</w:t>
      </w:r>
    </w:p>
    <w:p>
      <w:pPr>
        <w:spacing w:after="0" w:line="54" w:lineRule="exact"/>
        <w:rPr>
          <w:sz w:val="20"/>
          <w:szCs w:val="20"/>
          <w:color w:val="auto"/>
        </w:rPr>
      </w:pPr>
    </w:p>
    <w:p>
      <w:pPr>
        <w:ind w:left="640" w:right="719" w:firstLine="443"/>
        <w:spacing w:after="0" w:line="246" w:lineRule="auto"/>
        <w:rPr>
          <w:sz w:val="20"/>
          <w:szCs w:val="20"/>
          <w:color w:val="auto"/>
        </w:rPr>
      </w:pPr>
      <w:r>
        <w:rPr>
          <w:rFonts w:ascii="Arial" w:cs="Arial" w:eastAsia="Arial" w:hAnsi="Arial"/>
          <w:sz w:val="14"/>
          <w:szCs w:val="14"/>
          <w:color w:val="auto"/>
        </w:rPr>
        <w:t>The offers, sales and issuances of the securities described in the preceding paragraphs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the Registrant. No underwriters were involved in these transactions.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2" w:name="page273"/>
    <w:bookmarkEnd w:id="27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4"/>
          <w:szCs w:val="14"/>
          <w:i w:val="1"/>
          <w:iCs w:val="1"/>
          <w:color w:val="auto"/>
        </w:rPr>
        <w:t>(a)Exhibits.</w:t>
      </w:r>
    </w:p>
    <w:p>
      <w:pPr>
        <w:spacing w:after="0" w:line="198"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40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920" w:type="dxa"/>
            <w:vAlign w:val="bottom"/>
          </w:tcPr>
          <w:p>
            <w:pPr>
              <w:spacing w:after="0"/>
              <w:rPr>
                <w:sz w:val="11"/>
                <w:szCs w:val="11"/>
                <w:color w:val="auto"/>
              </w:rPr>
            </w:pPr>
          </w:p>
        </w:tc>
      </w:tr>
      <w:tr>
        <w:trPr>
          <w:trHeight w:val="137"/>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6920" w:type="dxa"/>
            <w:vAlign w:val="bottom"/>
            <w:tcBorders>
              <w:bottom w:val="single" w:sz="8" w:color="auto"/>
            </w:tcBorders>
          </w:tcPr>
          <w:p>
            <w:pPr>
              <w:ind w:left="2980"/>
              <w:spacing w:after="0"/>
              <w:rPr>
                <w:sz w:val="20"/>
                <w:szCs w:val="20"/>
                <w:color w:val="auto"/>
              </w:rPr>
            </w:pPr>
            <w:r>
              <w:rPr>
                <w:rFonts w:ascii="Arial" w:cs="Arial" w:eastAsia="Arial" w:hAnsi="Arial"/>
                <w:sz w:val="11"/>
                <w:szCs w:val="11"/>
                <w:b w:val="1"/>
                <w:bCs w:val="1"/>
                <w:color w:val="auto"/>
              </w:rPr>
              <w:t>Exhibit Description</w:t>
            </w:r>
          </w:p>
        </w:tc>
      </w:tr>
      <w:tr>
        <w:trPr>
          <w:trHeight w:val="327"/>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1.1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Form of Underwriting Agreement.</w:t>
            </w:r>
          </w:p>
        </w:tc>
      </w:tr>
      <w:tr>
        <w:trPr>
          <w:trHeight w:val="322"/>
        </w:trPr>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 xml:space="preserve">3.1 **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Eighth Amended and Restated Certificate of Incorporation, as amended, as currently in effect.</w:t>
            </w:r>
          </w:p>
        </w:tc>
      </w:tr>
      <w:tr>
        <w:trPr>
          <w:trHeight w:val="322"/>
        </w:trPr>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 xml:space="preserve">3.2 **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Bylaws, as currently in effect.</w:t>
            </w:r>
          </w:p>
        </w:tc>
      </w:tr>
      <w:tr>
        <w:trPr>
          <w:trHeight w:val="294"/>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3.3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Form of Ninth Amended and Restated Certificate of Incorporation, to be effective immediately prior to the</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closing of this offering.</w:t>
            </w:r>
          </w:p>
        </w:tc>
      </w:tr>
      <w:tr>
        <w:trPr>
          <w:trHeight w:val="322"/>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3.4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Form of Amended and Restated Bylaws, to be effective immediately prior to the closing of this offering.</w:t>
            </w:r>
          </w:p>
        </w:tc>
      </w:tr>
      <w:tr>
        <w:trPr>
          <w:trHeight w:val="322"/>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4.1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Form of Common Stock Certificate.</w:t>
            </w:r>
          </w:p>
        </w:tc>
      </w:tr>
      <w:tr>
        <w:trPr>
          <w:trHeight w:val="322"/>
        </w:trPr>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 xml:space="preserve">4.2 **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Warrant to Purchase Stock, issued to Banc of California (formerly Pacific Western Bank).</w:t>
            </w:r>
          </w:p>
        </w:tc>
      </w:tr>
      <w:tr>
        <w:trPr>
          <w:trHeight w:val="294"/>
        </w:trPr>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 xml:space="preserve">4.3 **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Third Amended and Restated Investors’ Rights Agreement, dated June 16, 2025, by and among Odyssey</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Therapeutics, Inc. and the investors thereto, as amended.</w:t>
            </w:r>
          </w:p>
        </w:tc>
      </w:tr>
      <w:tr>
        <w:trPr>
          <w:trHeight w:val="322"/>
        </w:trPr>
        <w:tc>
          <w:tcPr>
            <w:tcW w:w="680" w:type="dxa"/>
            <w:vAlign w:val="bottom"/>
            <w:gridSpan w:val="2"/>
          </w:tcPr>
          <w:p>
            <w:pPr>
              <w:jc w:val="right"/>
              <w:ind w:right="128"/>
              <w:spacing w:after="0"/>
              <w:rPr>
                <w:sz w:val="20"/>
                <w:szCs w:val="20"/>
                <w:color w:val="auto"/>
              </w:rPr>
            </w:pPr>
            <w:r>
              <w:rPr>
                <w:rFonts w:ascii="Arial" w:cs="Arial" w:eastAsia="Arial" w:hAnsi="Arial"/>
                <w:sz w:val="14"/>
                <w:szCs w:val="14"/>
                <w:color w:val="auto"/>
              </w:rPr>
              <w:t>4.4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Form of Common Stock Warrant.</w:t>
            </w:r>
          </w:p>
        </w:tc>
      </w:tr>
      <w:tr>
        <w:trPr>
          <w:trHeight w:val="322"/>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5.1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Opinion of Covington &amp; Burling LLP.</w:t>
            </w:r>
          </w:p>
        </w:tc>
      </w:tr>
      <w:tr>
        <w:trPr>
          <w:trHeight w:val="322"/>
        </w:trPr>
        <w:tc>
          <w:tcPr>
            <w:tcW w:w="400" w:type="dxa"/>
            <w:vAlign w:val="bottom"/>
          </w:tcPr>
          <w:p>
            <w:pPr>
              <w:jc w:val="right"/>
              <w:spacing w:after="0"/>
              <w:rPr>
                <w:sz w:val="20"/>
                <w:szCs w:val="20"/>
                <w:color w:val="auto"/>
              </w:rPr>
            </w:pPr>
            <w:r>
              <w:rPr>
                <w:rFonts w:ascii="Arial" w:cs="Arial" w:eastAsia="Arial" w:hAnsi="Arial"/>
                <w:sz w:val="14"/>
                <w:szCs w:val="14"/>
                <w:color w:val="auto"/>
              </w:rPr>
              <w:t>10.1</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Odyssey Therapeutics, Inc. 2021 Equity Incentive Plan, as amended, and forms of agreement thereunder.</w:t>
            </w:r>
          </w:p>
        </w:tc>
      </w:tr>
      <w:tr>
        <w:trPr>
          <w:trHeight w:val="322"/>
        </w:trPr>
        <w:tc>
          <w:tcPr>
            <w:tcW w:w="400" w:type="dxa"/>
            <w:vAlign w:val="bottom"/>
          </w:tcPr>
          <w:p>
            <w:pPr>
              <w:jc w:val="right"/>
              <w:spacing w:after="0"/>
              <w:rPr>
                <w:sz w:val="20"/>
                <w:szCs w:val="20"/>
                <w:color w:val="auto"/>
              </w:rPr>
            </w:pPr>
            <w:r>
              <w:rPr>
                <w:rFonts w:ascii="Arial" w:cs="Arial" w:eastAsia="Arial" w:hAnsi="Arial"/>
                <w:sz w:val="14"/>
                <w:szCs w:val="14"/>
                <w:color w:val="auto"/>
              </w:rPr>
              <w:t>10.2</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Odyssey Therapeutics, Inc. 2026 Long-Term Incentive Plan, and forms of agreement thereunder.</w:t>
            </w:r>
          </w:p>
        </w:tc>
      </w:tr>
      <w:tr>
        <w:trPr>
          <w:trHeight w:val="322"/>
        </w:trPr>
        <w:tc>
          <w:tcPr>
            <w:tcW w:w="400" w:type="dxa"/>
            <w:vAlign w:val="bottom"/>
          </w:tcPr>
          <w:p>
            <w:pPr>
              <w:jc w:val="right"/>
              <w:spacing w:after="0"/>
              <w:rPr>
                <w:sz w:val="20"/>
                <w:szCs w:val="20"/>
                <w:color w:val="auto"/>
              </w:rPr>
            </w:pPr>
            <w:r>
              <w:rPr>
                <w:rFonts w:ascii="Arial" w:cs="Arial" w:eastAsia="Arial" w:hAnsi="Arial"/>
                <w:sz w:val="14"/>
                <w:szCs w:val="14"/>
                <w:color w:val="auto"/>
              </w:rPr>
              <w:t>10.3</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Odyssey Therapeutics, Inc. 2026 Employee Stock Purchase Plan.</w:t>
            </w:r>
          </w:p>
        </w:tc>
      </w:tr>
      <w:tr>
        <w:trPr>
          <w:trHeight w:val="294"/>
        </w:trPr>
        <w:tc>
          <w:tcPr>
            <w:tcW w:w="400" w:type="dxa"/>
            <w:vAlign w:val="bottom"/>
          </w:tcPr>
          <w:p>
            <w:pPr>
              <w:jc w:val="right"/>
              <w:spacing w:after="0"/>
              <w:rPr>
                <w:sz w:val="20"/>
                <w:szCs w:val="20"/>
                <w:color w:val="auto"/>
              </w:rPr>
            </w:pPr>
            <w:r>
              <w:rPr>
                <w:rFonts w:ascii="Arial" w:cs="Arial" w:eastAsia="Arial" w:hAnsi="Arial"/>
                <w:sz w:val="14"/>
                <w:szCs w:val="14"/>
                <w:color w:val="auto"/>
              </w:rPr>
              <w:t>10.4</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Form of Indemnification Agreement by and between Odyssey Therapeutics, Inc. and its directors and</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executive officers.</w:t>
            </w:r>
          </w:p>
        </w:tc>
      </w:tr>
      <w:tr>
        <w:trPr>
          <w:trHeight w:val="294"/>
        </w:trPr>
        <w:tc>
          <w:tcPr>
            <w:tcW w:w="400" w:type="dxa"/>
            <w:vAlign w:val="bottom"/>
          </w:tcPr>
          <w:p>
            <w:pPr>
              <w:jc w:val="right"/>
              <w:spacing w:after="0"/>
              <w:rPr>
                <w:sz w:val="20"/>
                <w:szCs w:val="20"/>
                <w:color w:val="auto"/>
              </w:rPr>
            </w:pPr>
            <w:r>
              <w:rPr>
                <w:rFonts w:ascii="Arial" w:cs="Arial" w:eastAsia="Arial" w:hAnsi="Arial"/>
                <w:sz w:val="14"/>
                <w:szCs w:val="14"/>
                <w:color w:val="auto"/>
              </w:rPr>
              <w:t>10.5</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Executive Employment Agreement, effective as of January 1, 2025, between Gary D. Glick, Ph.D. and</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Odyssey Therapeutics, Inc.</w:t>
            </w:r>
          </w:p>
        </w:tc>
      </w:tr>
      <w:tr>
        <w:trPr>
          <w:trHeight w:val="294"/>
        </w:trPr>
        <w:tc>
          <w:tcPr>
            <w:tcW w:w="400" w:type="dxa"/>
            <w:vAlign w:val="bottom"/>
          </w:tcPr>
          <w:p>
            <w:pPr>
              <w:jc w:val="right"/>
              <w:spacing w:after="0"/>
              <w:rPr>
                <w:sz w:val="20"/>
                <w:szCs w:val="20"/>
                <w:color w:val="auto"/>
              </w:rPr>
            </w:pPr>
            <w:r>
              <w:rPr>
                <w:rFonts w:ascii="Arial" w:cs="Arial" w:eastAsia="Arial" w:hAnsi="Arial"/>
                <w:sz w:val="14"/>
                <w:szCs w:val="14"/>
                <w:color w:val="auto"/>
              </w:rPr>
              <w:t>10.6</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Executive Employment Agreement, dated December 21, 2024, between Collin Todd and Odyssey</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Therapeutics, Inc.</w:t>
            </w:r>
          </w:p>
        </w:tc>
      </w:tr>
      <w:tr>
        <w:trPr>
          <w:trHeight w:val="294"/>
        </w:trPr>
        <w:tc>
          <w:tcPr>
            <w:tcW w:w="400" w:type="dxa"/>
            <w:vAlign w:val="bottom"/>
          </w:tcPr>
          <w:p>
            <w:pPr>
              <w:jc w:val="right"/>
              <w:spacing w:after="0"/>
              <w:rPr>
                <w:sz w:val="20"/>
                <w:szCs w:val="20"/>
                <w:color w:val="auto"/>
              </w:rPr>
            </w:pPr>
            <w:r>
              <w:rPr>
                <w:rFonts w:ascii="Arial" w:cs="Arial" w:eastAsia="Arial" w:hAnsi="Arial"/>
                <w:sz w:val="14"/>
                <w:szCs w:val="14"/>
                <w:color w:val="auto"/>
              </w:rPr>
              <w:t>10.7</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Executive Employment Agreement, dated December 18, 2024, between Jason Haas and Odyssey</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Therapeutics, Inc.</w:t>
            </w:r>
          </w:p>
        </w:tc>
      </w:tr>
      <w:tr>
        <w:trPr>
          <w:trHeight w:val="294"/>
        </w:trPr>
        <w:tc>
          <w:tcPr>
            <w:tcW w:w="400" w:type="dxa"/>
            <w:vAlign w:val="bottom"/>
          </w:tcPr>
          <w:p>
            <w:pPr>
              <w:jc w:val="right"/>
              <w:spacing w:after="0"/>
              <w:rPr>
                <w:sz w:val="20"/>
                <w:szCs w:val="20"/>
                <w:color w:val="auto"/>
              </w:rPr>
            </w:pPr>
            <w:r>
              <w:rPr>
                <w:rFonts w:ascii="Arial" w:cs="Arial" w:eastAsia="Arial" w:hAnsi="Arial"/>
                <w:sz w:val="14"/>
                <w:szCs w:val="14"/>
                <w:color w:val="auto"/>
              </w:rPr>
              <w:t>10.8</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Stock Restriction Agreement, dated August 30, 2021, between Gary D. Glick, Ph.D. and Odyssey</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Therapeutics, Inc.</w:t>
            </w:r>
          </w:p>
        </w:tc>
      </w:tr>
      <w:tr>
        <w:trPr>
          <w:trHeight w:val="294"/>
        </w:trPr>
        <w:tc>
          <w:tcPr>
            <w:tcW w:w="400" w:type="dxa"/>
            <w:vAlign w:val="bottom"/>
          </w:tcPr>
          <w:p>
            <w:pPr>
              <w:jc w:val="right"/>
              <w:spacing w:after="0"/>
              <w:rPr>
                <w:sz w:val="20"/>
                <w:szCs w:val="20"/>
                <w:color w:val="auto"/>
              </w:rPr>
            </w:pPr>
            <w:r>
              <w:rPr>
                <w:rFonts w:ascii="Arial" w:cs="Arial" w:eastAsia="Arial" w:hAnsi="Arial"/>
                <w:sz w:val="14"/>
                <w:szCs w:val="14"/>
                <w:color w:val="auto"/>
              </w:rPr>
              <w:t>10.9</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Collaboration and License Agreement, dated September 11, 2024, by and between Odyssey Therapeutics,</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Inc. and Terray Therapeutics, Inc.</w:t>
            </w:r>
          </w:p>
        </w:tc>
      </w:tr>
      <w:tr>
        <w:trPr>
          <w:trHeight w:val="294"/>
        </w:trPr>
        <w:tc>
          <w:tcPr>
            <w:tcW w:w="680" w:type="dxa"/>
            <w:vAlign w:val="bottom"/>
            <w:gridSpan w:val="2"/>
          </w:tcPr>
          <w:p>
            <w:pPr>
              <w:ind w:left="100"/>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Share Purchase Agreement, dated October 6, 2021, by and among Odyssey Therapeutics, Inc., Rahko</w:t>
            </w:r>
          </w:p>
        </w:tc>
      </w:tr>
      <w:tr>
        <w:trPr>
          <w:trHeight w:val="190"/>
        </w:trPr>
        <w:tc>
          <w:tcPr>
            <w:tcW w:w="400" w:type="dxa"/>
            <w:vAlign w:val="bottom"/>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Limited, the seller parties thereto and Robert Ian Horobin and Miriam Cha, as sellers’ representatives.</w:t>
            </w:r>
          </w:p>
        </w:tc>
      </w:tr>
      <w:tr>
        <w:trPr>
          <w:trHeight w:val="455"/>
        </w:trPr>
        <w:tc>
          <w:tcPr>
            <w:tcW w:w="680" w:type="dxa"/>
            <w:vAlign w:val="bottom"/>
            <w:gridSpan w:val="2"/>
          </w:tcPr>
          <w:p>
            <w:pPr>
              <w:ind w:left="100"/>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Share Purchase Agreement, dated October 6, 2021, by and among Odyssey Therapeutics, Inc., Rahko</w:t>
            </w:r>
          </w:p>
        </w:tc>
      </w:tr>
      <w:tr>
        <w:trPr>
          <w:trHeight w:val="161"/>
        </w:trPr>
        <w:tc>
          <w:tcPr>
            <w:tcW w:w="400" w:type="dxa"/>
            <w:vAlign w:val="bottom"/>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Limited, Balderton Capital General Partner VI S.L.P and Robert Ian Horobin and Miriam Cha, as sellers’</w:t>
            </w:r>
          </w:p>
        </w:tc>
      </w:tr>
      <w:tr>
        <w:trPr>
          <w:trHeight w:val="190"/>
        </w:trPr>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representatives.</w:t>
            </w:r>
          </w:p>
        </w:tc>
      </w:tr>
    </w:tbl>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3" w:name="page274"/>
    <w:bookmarkEnd w:id="27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68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140" w:type="dxa"/>
            <w:vAlign w:val="bottom"/>
          </w:tcPr>
          <w:p>
            <w:pPr>
              <w:spacing w:after="0"/>
              <w:rPr>
                <w:sz w:val="11"/>
                <w:szCs w:val="11"/>
                <w:color w:val="auto"/>
              </w:rPr>
            </w:pPr>
          </w:p>
        </w:tc>
        <w:tc>
          <w:tcPr>
            <w:tcW w:w="6920" w:type="dxa"/>
            <w:vAlign w:val="bottom"/>
          </w:tcPr>
          <w:p>
            <w:pPr>
              <w:spacing w:after="0"/>
              <w:rPr>
                <w:sz w:val="11"/>
                <w:szCs w:val="11"/>
                <w:color w:val="auto"/>
              </w:rPr>
            </w:pPr>
          </w:p>
        </w:tc>
      </w:tr>
      <w:tr>
        <w:trPr>
          <w:trHeight w:val="137"/>
        </w:trPr>
        <w:tc>
          <w:tcPr>
            <w:tcW w:w="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6920" w:type="dxa"/>
            <w:vAlign w:val="bottom"/>
            <w:tcBorders>
              <w:bottom w:val="single" w:sz="8" w:color="auto"/>
            </w:tcBorders>
          </w:tcPr>
          <w:p>
            <w:pPr>
              <w:ind w:left="2980"/>
              <w:spacing w:after="0"/>
              <w:rPr>
                <w:sz w:val="20"/>
                <w:szCs w:val="20"/>
                <w:color w:val="auto"/>
              </w:rPr>
            </w:pPr>
            <w:r>
              <w:rPr>
                <w:rFonts w:ascii="Arial" w:cs="Arial" w:eastAsia="Arial" w:hAnsi="Arial"/>
                <w:sz w:val="11"/>
                <w:szCs w:val="11"/>
                <w:b w:val="1"/>
                <w:bCs w:val="1"/>
                <w:color w:val="auto"/>
              </w:rPr>
              <w:t>Exhibit Description</w:t>
            </w:r>
          </w:p>
        </w:tc>
      </w:tr>
      <w:tr>
        <w:trPr>
          <w:trHeight w:val="298"/>
        </w:trPr>
        <w:tc>
          <w:tcPr>
            <w:tcW w:w="680" w:type="dxa"/>
            <w:vAlign w:val="bottom"/>
          </w:tcPr>
          <w:p>
            <w:pPr>
              <w:ind w:left="100"/>
              <w:spacing w:after="0"/>
              <w:rPr>
                <w:sz w:val="20"/>
                <w:szCs w:val="20"/>
                <w:color w:val="auto"/>
              </w:rPr>
            </w:pPr>
            <w:r>
              <w:rPr>
                <w:rFonts w:ascii="Arial" w:cs="Arial" w:eastAsia="Arial" w:hAnsi="Arial"/>
                <w:sz w:val="14"/>
                <w:szCs w:val="14"/>
                <w:color w:val="auto"/>
              </w:rPr>
              <w:t>10.12</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Membership Interest Purchase Agreement, dated May 6, 2022, by and among Odyssey Therapeutics, Inc.,</w:t>
            </w:r>
          </w:p>
        </w:tc>
      </w:tr>
      <w:tr>
        <w:trPr>
          <w:trHeight w:val="161"/>
        </w:trPr>
        <w:tc>
          <w:tcPr>
            <w:tcW w:w="680" w:type="dxa"/>
            <w:vAlign w:val="bottom"/>
          </w:tcPr>
          <w:p>
            <w:pPr>
              <w:ind w:lef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IFM Therapeutics, LLC, IFM Management, Inc., IFM Therapeutics GmbH, IFM Quattro, Inc., IFM Cinque,</w:t>
            </w:r>
          </w:p>
        </w:tc>
      </w:tr>
      <w:tr>
        <w:trPr>
          <w:trHeight w:val="190"/>
        </w:trPr>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Inc. and IFM Continua, Inc.</w:t>
            </w:r>
          </w:p>
        </w:tc>
      </w:tr>
      <w:tr>
        <w:trPr>
          <w:trHeight w:val="322"/>
        </w:trPr>
        <w:tc>
          <w:tcPr>
            <w:tcW w:w="680" w:type="dxa"/>
            <w:vAlign w:val="bottom"/>
          </w:tcPr>
          <w:p>
            <w:pPr>
              <w:ind w:left="100"/>
              <w:spacing w:after="0"/>
              <w:rPr>
                <w:sz w:val="20"/>
                <w:szCs w:val="20"/>
                <w:color w:val="auto"/>
              </w:rPr>
            </w:pPr>
            <w:r>
              <w:rPr>
                <w:rFonts w:ascii="Arial" w:cs="Arial" w:eastAsia="Arial" w:hAnsi="Arial"/>
                <w:sz w:val="14"/>
                <w:szCs w:val="14"/>
                <w:color w:val="auto"/>
              </w:rPr>
              <w:t>21.1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Subsidiaries of Odyssey Therapeutics, Inc.</w:t>
            </w:r>
          </w:p>
        </w:tc>
      </w:tr>
      <w:tr>
        <w:trPr>
          <w:trHeight w:val="322"/>
        </w:trPr>
        <w:tc>
          <w:tcPr>
            <w:tcW w:w="680" w:type="dxa"/>
            <w:vAlign w:val="bottom"/>
          </w:tcPr>
          <w:p>
            <w:pPr>
              <w:ind w:left="100"/>
              <w:spacing w:after="0"/>
              <w:rPr>
                <w:sz w:val="20"/>
                <w:szCs w:val="20"/>
                <w:color w:val="auto"/>
              </w:rPr>
            </w:pPr>
            <w:r>
              <w:rPr>
                <w:rFonts w:ascii="Arial" w:cs="Arial" w:eastAsia="Arial" w:hAnsi="Arial"/>
                <w:sz w:val="14"/>
                <w:szCs w:val="14"/>
                <w:color w:val="auto"/>
              </w:rPr>
              <w:t>23.1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Consent of Deloitte &amp; Touche LLP, Independent Registered Public Accounting Firm.</w:t>
            </w:r>
          </w:p>
        </w:tc>
      </w:tr>
      <w:tr>
        <w:trPr>
          <w:trHeight w:val="322"/>
        </w:trPr>
        <w:tc>
          <w:tcPr>
            <w:tcW w:w="680" w:type="dxa"/>
            <w:vAlign w:val="bottom"/>
          </w:tcPr>
          <w:p>
            <w:pPr>
              <w:ind w:left="100"/>
              <w:spacing w:after="0"/>
              <w:rPr>
                <w:sz w:val="20"/>
                <w:szCs w:val="20"/>
                <w:color w:val="auto"/>
              </w:rPr>
            </w:pPr>
            <w:r>
              <w:rPr>
                <w:rFonts w:ascii="Arial" w:cs="Arial" w:eastAsia="Arial" w:hAnsi="Arial"/>
                <w:sz w:val="14"/>
                <w:szCs w:val="14"/>
                <w:color w:val="auto"/>
              </w:rPr>
              <w:t>23.2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Consent of Covington &amp; Burling LLP (included in Exhibit 5.1).</w:t>
            </w:r>
          </w:p>
        </w:tc>
      </w:tr>
      <w:tr>
        <w:trPr>
          <w:trHeight w:val="322"/>
        </w:trPr>
        <w:tc>
          <w:tcPr>
            <w:tcW w:w="680" w:type="dxa"/>
            <w:vAlign w:val="bottom"/>
          </w:tcPr>
          <w:p>
            <w:pPr>
              <w:ind w:left="100"/>
              <w:spacing w:after="0"/>
              <w:rPr>
                <w:sz w:val="20"/>
                <w:szCs w:val="20"/>
                <w:color w:val="auto"/>
              </w:rPr>
            </w:pPr>
            <w:r>
              <w:rPr>
                <w:rFonts w:ascii="Arial" w:cs="Arial" w:eastAsia="Arial" w:hAnsi="Arial"/>
                <w:sz w:val="14"/>
                <w:szCs w:val="14"/>
                <w:color w:val="auto"/>
              </w:rPr>
              <w:t>24.1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Power of Attorney.</w:t>
            </w:r>
          </w:p>
        </w:tc>
      </w:tr>
      <w:tr>
        <w:trPr>
          <w:trHeight w:val="322"/>
        </w:trPr>
        <w:tc>
          <w:tcPr>
            <w:tcW w:w="680" w:type="dxa"/>
            <w:vAlign w:val="bottom"/>
          </w:tcPr>
          <w:p>
            <w:pPr>
              <w:ind w:left="100"/>
              <w:spacing w:after="0"/>
              <w:rPr>
                <w:sz w:val="20"/>
                <w:szCs w:val="20"/>
                <w:color w:val="auto"/>
              </w:rPr>
            </w:pPr>
            <w:r>
              <w:rPr>
                <w:rFonts w:ascii="Arial" w:cs="Arial" w:eastAsia="Arial" w:hAnsi="Arial"/>
                <w:sz w:val="14"/>
                <w:szCs w:val="14"/>
                <w:color w:val="auto"/>
              </w:rPr>
              <w:t>107 *</w:t>
            </w:r>
          </w:p>
        </w:tc>
        <w:tc>
          <w:tcPr>
            <w:tcW w:w="140" w:type="dxa"/>
            <w:vAlign w:val="bottom"/>
          </w:tcPr>
          <w:p>
            <w:pPr>
              <w:spacing w:after="0"/>
              <w:rPr>
                <w:sz w:val="24"/>
                <w:szCs w:val="24"/>
                <w:color w:val="auto"/>
              </w:rPr>
            </w:pPr>
          </w:p>
        </w:tc>
        <w:tc>
          <w:tcPr>
            <w:tcW w:w="6920" w:type="dxa"/>
            <w:vAlign w:val="bottom"/>
          </w:tcPr>
          <w:p>
            <w:pPr>
              <w:ind w:left="100"/>
              <w:spacing w:after="0"/>
              <w:rPr>
                <w:sz w:val="20"/>
                <w:szCs w:val="20"/>
                <w:color w:val="auto"/>
              </w:rPr>
            </w:pPr>
            <w:r>
              <w:rPr>
                <w:rFonts w:ascii="Arial" w:cs="Arial" w:eastAsia="Arial" w:hAnsi="Arial"/>
                <w:sz w:val="14"/>
                <w:szCs w:val="14"/>
                <w:color w:val="auto"/>
              </w:rPr>
              <w:t>Fee Table.</w:t>
            </w:r>
          </w:p>
        </w:tc>
      </w:tr>
    </w:tbl>
    <w:p>
      <w:pPr>
        <w:spacing w:after="0" w:line="165" w:lineRule="exact"/>
        <w:rPr>
          <w:sz w:val="20"/>
          <w:szCs w:val="20"/>
          <w:color w:val="auto"/>
        </w:rPr>
      </w:pPr>
    </w:p>
    <w:p>
      <w:pPr>
        <w:ind w:left="640" w:right="6599" w:hanging="2"/>
        <w:spacing w:after="0" w:line="250" w:lineRule="auto"/>
        <w:tabs>
          <w:tab w:leader="none" w:pos="73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To be filed by amendment. ** Previously filed.</w:t>
      </w:r>
    </w:p>
    <w:p>
      <w:pPr>
        <w:ind w:left="640"/>
        <w:spacing w:after="0"/>
        <w:rPr>
          <w:rFonts w:ascii="Arial" w:cs="Arial" w:eastAsia="Arial" w:hAnsi="Arial"/>
          <w:sz w:val="14"/>
          <w:szCs w:val="14"/>
          <w:color w:val="auto"/>
        </w:rPr>
      </w:pPr>
      <w:r>
        <w:rPr>
          <w:rFonts w:ascii="Arial" w:cs="Arial" w:eastAsia="Arial" w:hAnsi="Arial"/>
          <w:sz w:val="14"/>
          <w:szCs w:val="14"/>
          <w:color w:val="auto"/>
        </w:rPr>
        <w:t>+ Indicates management contract or compensatory plan or arrangement.</w:t>
      </w:r>
    </w:p>
    <w:p>
      <w:pPr>
        <w:ind w:left="640" w:right="1319"/>
        <w:spacing w:after="0" w:line="261" w:lineRule="auto"/>
        <w:rPr>
          <w:rFonts w:ascii="Arial" w:cs="Arial" w:eastAsia="Arial" w:hAnsi="Arial"/>
          <w:sz w:val="14"/>
          <w:szCs w:val="14"/>
          <w:color w:val="auto"/>
        </w:rPr>
      </w:pPr>
      <w:r>
        <w:rPr>
          <w:rFonts w:ascii="Arial" w:cs="Arial" w:eastAsia="Arial" w:hAnsi="Arial"/>
          <w:sz w:val="14"/>
          <w:szCs w:val="14"/>
          <w:color w:val="auto"/>
        </w:rPr>
        <w:t>† Portions of this exhibit (indicated by [* * *]) have been omitted because the Registrant has determined that the information is both (i) not material and (ii) of the type that the Registrant treats as private and confidential.</w:t>
      </w:r>
    </w:p>
    <w:p>
      <w:pPr>
        <w:spacing w:after="0" w:line="44" w:lineRule="exact"/>
        <w:rPr>
          <w:sz w:val="20"/>
          <w:szCs w:val="20"/>
          <w:color w:val="auto"/>
        </w:rPr>
      </w:pPr>
    </w:p>
    <w:p>
      <w:pPr>
        <w:ind w:left="1260" w:right="699" w:hanging="174"/>
        <w:spacing w:after="0" w:line="282" w:lineRule="auto"/>
        <w:rPr>
          <w:sz w:val="20"/>
          <w:szCs w:val="20"/>
          <w:color w:val="auto"/>
        </w:rPr>
      </w:pPr>
      <w:r>
        <w:rPr>
          <w:rFonts w:ascii="Arial" w:cs="Arial" w:eastAsia="Arial" w:hAnsi="Arial"/>
          <w:sz w:val="14"/>
          <w:szCs w:val="14"/>
          <w:i w:val="1"/>
          <w:iCs w:val="1"/>
          <w:color w:val="auto"/>
        </w:rPr>
        <w:t xml:space="preserve">(b)Financial Statement Schedules. </w:t>
      </w:r>
      <w:r>
        <w:rPr>
          <w:rFonts w:ascii="Arial" w:cs="Arial" w:eastAsia="Arial" w:hAnsi="Arial"/>
          <w:sz w:val="14"/>
          <w:szCs w:val="14"/>
          <w:color w:val="auto"/>
        </w:rPr>
        <w:t>All financial statement schedules are omitted because the information called for</w:t>
      </w:r>
      <w:r>
        <w:rPr>
          <w:rFonts w:ascii="Arial" w:cs="Arial" w:eastAsia="Arial" w:hAnsi="Arial"/>
          <w:sz w:val="14"/>
          <w:szCs w:val="14"/>
          <w:i w:val="1"/>
          <w:iCs w:val="1"/>
          <w:color w:val="auto"/>
        </w:rPr>
        <w:t xml:space="preserve"> </w:t>
      </w:r>
      <w:r>
        <w:rPr>
          <w:rFonts w:ascii="Arial" w:cs="Arial" w:eastAsia="Arial" w:hAnsi="Arial"/>
          <w:sz w:val="14"/>
          <w:szCs w:val="14"/>
          <w:color w:val="auto"/>
        </w:rPr>
        <w:t>is not required or is shown either in the financial statements or in the notes thereto.</w:t>
      </w:r>
    </w:p>
    <w:p>
      <w:pPr>
        <w:spacing w:after="0" w:line="30" w:lineRule="exact"/>
        <w:rPr>
          <w:sz w:val="20"/>
          <w:szCs w:val="20"/>
          <w:color w:val="auto"/>
        </w:rPr>
      </w:pPr>
    </w:p>
    <w:p>
      <w:pPr>
        <w:ind w:left="1260" w:right="679" w:hanging="174"/>
        <w:spacing w:after="0" w:line="282" w:lineRule="auto"/>
        <w:rPr>
          <w:sz w:val="20"/>
          <w:szCs w:val="20"/>
          <w:color w:val="auto"/>
        </w:rPr>
      </w:pPr>
      <w:r>
        <w:rPr>
          <w:rFonts w:ascii="Arial" w:cs="Arial" w:eastAsia="Arial" w:hAnsi="Arial"/>
          <w:sz w:val="14"/>
          <w:szCs w:val="14"/>
          <w:i w:val="1"/>
          <w:iCs w:val="1"/>
          <w:color w:val="auto"/>
        </w:rPr>
        <w:t xml:space="preserve">(c)Filing Fee Table. </w:t>
      </w:r>
      <w:r>
        <w:rPr>
          <w:rFonts w:ascii="Arial" w:cs="Arial" w:eastAsia="Arial" w:hAnsi="Arial"/>
          <w:sz w:val="14"/>
          <w:szCs w:val="14"/>
          <w:color w:val="auto"/>
        </w:rPr>
        <w:t>The information required to be furnished by paragraph (c) of this Item is incorporated herein by</w:t>
      </w:r>
      <w:r>
        <w:rPr>
          <w:rFonts w:ascii="Arial" w:cs="Arial" w:eastAsia="Arial" w:hAnsi="Arial"/>
          <w:sz w:val="14"/>
          <w:szCs w:val="14"/>
          <w:i w:val="1"/>
          <w:iCs w:val="1"/>
          <w:color w:val="auto"/>
        </w:rPr>
        <w:t xml:space="preserve"> </w:t>
      </w:r>
      <w:r>
        <w:rPr>
          <w:rFonts w:ascii="Arial" w:cs="Arial" w:eastAsia="Arial" w:hAnsi="Arial"/>
          <w:sz w:val="14"/>
          <w:szCs w:val="14"/>
          <w:color w:val="auto"/>
        </w:rPr>
        <w:t>reference to Exhibit 107.</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 17. UNDERTAKINGS.</w:t>
      </w:r>
    </w:p>
    <w:p>
      <w:pPr>
        <w:spacing w:after="0" w:line="86" w:lineRule="exact"/>
        <w:rPr>
          <w:sz w:val="20"/>
          <w:szCs w:val="20"/>
          <w:color w:val="auto"/>
        </w:rPr>
      </w:pPr>
    </w:p>
    <w:p>
      <w:pPr>
        <w:ind w:left="640" w:right="759" w:firstLine="443"/>
        <w:spacing w:after="0" w:line="261" w:lineRule="auto"/>
        <w:rPr>
          <w:sz w:val="20"/>
          <w:szCs w:val="20"/>
          <w:color w:val="auto"/>
        </w:rPr>
      </w:pPr>
      <w:r>
        <w:rPr>
          <w:rFonts w:ascii="Arial" w:cs="Arial" w:eastAsia="Arial" w:hAnsi="Arial"/>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44" w:lineRule="exact"/>
        <w:rPr>
          <w:sz w:val="20"/>
          <w:szCs w:val="20"/>
          <w:color w:val="auto"/>
        </w:rPr>
      </w:pPr>
    </w:p>
    <w:p>
      <w:pPr>
        <w:ind w:left="640" w:right="719" w:firstLine="443"/>
        <w:spacing w:after="0" w:line="245"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undersigned registrant hereby undertakes that:</w:t>
      </w:r>
    </w:p>
    <w:p>
      <w:pPr>
        <w:spacing w:after="0" w:line="86" w:lineRule="exact"/>
        <w:rPr>
          <w:sz w:val="20"/>
          <w:szCs w:val="20"/>
          <w:color w:val="auto"/>
        </w:rPr>
      </w:pPr>
    </w:p>
    <w:p>
      <w:pPr>
        <w:ind w:left="640" w:right="819" w:firstLine="441"/>
        <w:spacing w:after="0" w:line="254" w:lineRule="auto"/>
        <w:tabs>
          <w:tab w:leader="none" w:pos="134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8" w:lineRule="exact"/>
        <w:rPr>
          <w:rFonts w:ascii="Arial" w:cs="Arial" w:eastAsia="Arial" w:hAnsi="Arial"/>
          <w:sz w:val="14"/>
          <w:szCs w:val="14"/>
          <w:color w:val="auto"/>
        </w:rPr>
      </w:pPr>
    </w:p>
    <w:p>
      <w:pPr>
        <w:ind w:left="640" w:right="659" w:firstLine="441"/>
        <w:spacing w:after="0" w:line="261" w:lineRule="auto"/>
        <w:tabs>
          <w:tab w:leader="none" w:pos="134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378460</wp:posOffset>
            </wp:positionV>
            <wp:extent cx="560387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4" w:name="page275"/>
    <w:bookmarkEnd w:id="27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86" w:lineRule="exact"/>
        <w:rPr>
          <w:sz w:val="20"/>
          <w:szCs w:val="20"/>
          <w:color w:val="auto"/>
        </w:rPr>
      </w:pPr>
    </w:p>
    <w:p>
      <w:pPr>
        <w:jc w:val="both"/>
        <w:ind w:left="640" w:right="1099" w:firstLine="443"/>
        <w:spacing w:after="0" w:line="261"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amendment to the registration statement on Form S-1 to be signed on its behalf by the undersigned, thereunto duly authorized, in Boston, Massachusetts, on the   day of           , 2026.</w:t>
      </w: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Odyssey Therapeutics, Inc.</w:t>
      </w:r>
    </w:p>
    <w:p>
      <w:pPr>
        <w:spacing w:after="0" w:line="172"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9525</wp:posOffset>
            </wp:positionV>
            <wp:extent cx="180721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807210" cy="698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Gary D. Glick, Ph.D.</w:t>
      </w:r>
    </w:p>
    <w:p>
      <w:pPr>
        <w:ind w:left="552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588010</wp:posOffset>
            </wp:positionV>
            <wp:extent cx="560387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5" w:name="page276"/>
    <w:bookmarkEnd w:id="27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POWER OF ATTORNEY</w:t>
      </w:r>
    </w:p>
    <w:p>
      <w:pPr>
        <w:spacing w:after="0" w:line="172" w:lineRule="exact"/>
        <w:rPr>
          <w:sz w:val="20"/>
          <w:szCs w:val="20"/>
          <w:color w:val="auto"/>
        </w:rPr>
      </w:pPr>
    </w:p>
    <w:p>
      <w:pPr>
        <w:ind w:left="640" w:right="679" w:firstLine="438"/>
        <w:spacing w:after="0" w:line="244"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Gary D. Glick, Ph.D. and Jason Haas, and each of them, as his or her true and lawful attorneys-in-fact and agents, with full power of substitution and resubstitution and full power to act without the other, for him or her and to act in his or her name, place and stead, in any and all capacities, to execute the Registration Statement on Form S-1 of Odyssey Therapeutics, Inc. and any or all amendments (including post-effective amendments) thereto and any new registration statement with respect to the offering contemplated 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33" w:lineRule="exact"/>
        <w:rPr>
          <w:sz w:val="20"/>
          <w:szCs w:val="20"/>
          <w:color w:val="auto"/>
        </w:rPr>
      </w:pPr>
    </w:p>
    <w:p>
      <w:pPr>
        <w:ind w:left="640" w:right="759" w:firstLine="516"/>
        <w:spacing w:after="0" w:line="282" w:lineRule="auto"/>
        <w:rPr>
          <w:sz w:val="20"/>
          <w:szCs w:val="20"/>
          <w:color w:val="auto"/>
        </w:rPr>
      </w:pPr>
      <w:r>
        <w:rPr>
          <w:rFonts w:ascii="Arial" w:cs="Arial" w:eastAsia="Arial" w:hAnsi="Arial"/>
          <w:sz w:val="14"/>
          <w:szCs w:val="14"/>
          <w:color w:val="auto"/>
        </w:rPr>
        <w:t>Pursuant to the requirements of the Securities Act of 1933, as amended, this registration statement on Form S-1 has been signed by the following persons in the capacities and on the dates indicated.</w:t>
      </w:r>
    </w:p>
    <w:p>
      <w:pPr>
        <w:sectPr>
          <w:pgSz w:w="11900" w:h="16838" w:orient="portrait"/>
          <w:cols w:equalWidth="0" w:num="1">
            <w:col w:w="9019"/>
          </w:cols>
          <w:pgMar w:left="1440" w:top="123" w:right="1440" w:bottom="1440" w:gutter="0" w:footer="0" w:header="0"/>
        </w:sectPr>
      </w:pP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1"/>
          <w:szCs w:val="11"/>
          <w:b w:val="1"/>
          <w:bCs w:val="1"/>
          <w:color w:val="auto"/>
        </w:rPr>
        <w:t>Signature</w:t>
      </w:r>
    </w:p>
    <w:p>
      <w:pPr>
        <w:spacing w:after="0" w:line="26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Gary D. Glick,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Jason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Jeffrey M. Leiden,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Shelley Chu,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Jill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Carl L. Gordon, Ph.D.,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Paulina Hill,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Nan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Carolyn 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Valerie Odegard,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Ksenija Pavletic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Nia Tatsis,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Timothy P.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-99060</wp:posOffset>
            </wp:positionV>
            <wp:extent cx="155511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3960" w:type="dxa"/>
            <w:vAlign w:val="bottom"/>
          </w:tcPr>
          <w:p>
            <w:pPr>
              <w:ind w:left="1700"/>
              <w:spacing w:after="0"/>
              <w:rPr>
                <w:sz w:val="20"/>
                <w:szCs w:val="20"/>
                <w:color w:val="auto"/>
              </w:rPr>
            </w:pPr>
            <w:r>
              <w:rPr>
                <w:rFonts w:ascii="Arial" w:cs="Arial" w:eastAsia="Arial" w:hAnsi="Arial"/>
                <w:sz w:val="11"/>
                <w:szCs w:val="11"/>
                <w:b w:val="1"/>
                <w:bCs w:val="1"/>
                <w:color w:val="auto"/>
              </w:rPr>
              <w:t>Title</w:t>
            </w:r>
          </w:p>
        </w:tc>
        <w:tc>
          <w:tcPr>
            <w:tcW w:w="1020" w:type="dxa"/>
            <w:vAlign w:val="bottom"/>
          </w:tcPr>
          <w:p>
            <w:pPr>
              <w:jc w:val="right"/>
              <w:ind w:right="329"/>
              <w:spacing w:after="0"/>
              <w:rPr>
                <w:sz w:val="20"/>
                <w:szCs w:val="20"/>
                <w:color w:val="auto"/>
              </w:rPr>
            </w:pPr>
            <w:r>
              <w:rPr>
                <w:rFonts w:ascii="Arial" w:cs="Arial" w:eastAsia="Arial" w:hAnsi="Arial"/>
                <w:sz w:val="11"/>
                <w:szCs w:val="11"/>
                <w:b w:val="1"/>
                <w:bCs w:val="1"/>
                <w:color w:val="auto"/>
              </w:rPr>
              <w:t>Date</w:t>
            </w:r>
          </w:p>
        </w:tc>
      </w:tr>
      <w:tr>
        <w:trPr>
          <w:trHeight w:val="223"/>
        </w:trPr>
        <w:tc>
          <w:tcPr>
            <w:tcW w:w="3960" w:type="dxa"/>
            <w:vAlign w:val="bottom"/>
          </w:tcPr>
          <w:p>
            <w:pPr>
              <w:spacing w:after="0"/>
              <w:rPr>
                <w:sz w:val="20"/>
                <w:szCs w:val="20"/>
                <w:color w:val="auto"/>
              </w:rPr>
            </w:pPr>
            <w:r>
              <w:rPr>
                <w:rFonts w:ascii="Arial" w:cs="Arial" w:eastAsia="Arial" w:hAnsi="Arial"/>
                <w:sz w:val="14"/>
                <w:szCs w:val="14"/>
                <w:color w:val="auto"/>
              </w:rPr>
              <w:t>President, Chief Executive Officer and Director (Principal</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190"/>
        </w:trPr>
        <w:tc>
          <w:tcPr>
            <w:tcW w:w="3960" w:type="dxa"/>
            <w:vAlign w:val="bottom"/>
          </w:tcPr>
          <w:p>
            <w:pPr>
              <w:spacing w:after="0"/>
              <w:rPr>
                <w:sz w:val="20"/>
                <w:szCs w:val="20"/>
                <w:color w:val="auto"/>
              </w:rPr>
            </w:pPr>
            <w:r>
              <w:rPr>
                <w:rFonts w:ascii="Arial" w:cs="Arial" w:eastAsia="Arial" w:hAnsi="Arial"/>
                <w:sz w:val="14"/>
                <w:szCs w:val="14"/>
                <w:color w:val="auto"/>
              </w:rPr>
              <w:t>Executive Officer)</w:t>
            </w:r>
          </w:p>
        </w:tc>
        <w:tc>
          <w:tcPr>
            <w:tcW w:w="1020" w:type="dxa"/>
            <w:vAlign w:val="bottom"/>
          </w:tcPr>
          <w:p>
            <w:pPr>
              <w:spacing w:after="0"/>
              <w:rPr>
                <w:sz w:val="16"/>
                <w:szCs w:val="16"/>
                <w:color w:val="auto"/>
              </w:rPr>
            </w:pPr>
          </w:p>
        </w:tc>
      </w:tr>
      <w:tr>
        <w:trPr>
          <w:trHeight w:val="304"/>
        </w:trPr>
        <w:tc>
          <w:tcPr>
            <w:tcW w:w="3960" w:type="dxa"/>
            <w:vAlign w:val="bottom"/>
          </w:tcPr>
          <w:p>
            <w:pPr>
              <w:spacing w:after="0"/>
              <w:rPr>
                <w:sz w:val="20"/>
                <w:szCs w:val="20"/>
                <w:color w:val="auto"/>
              </w:rPr>
            </w:pPr>
            <w:r>
              <w:rPr>
                <w:rFonts w:ascii="Arial" w:cs="Arial" w:eastAsia="Arial" w:hAnsi="Arial"/>
                <w:sz w:val="14"/>
                <w:szCs w:val="14"/>
                <w:color w:val="auto"/>
              </w:rPr>
              <w:t>Chief Financial Officer (Principal Financial and</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190"/>
        </w:trPr>
        <w:tc>
          <w:tcPr>
            <w:tcW w:w="3960" w:type="dxa"/>
            <w:vAlign w:val="bottom"/>
          </w:tcPr>
          <w:p>
            <w:pPr>
              <w:spacing w:after="0"/>
              <w:rPr>
                <w:sz w:val="20"/>
                <w:szCs w:val="20"/>
                <w:color w:val="auto"/>
              </w:rPr>
            </w:pPr>
            <w:r>
              <w:rPr>
                <w:rFonts w:ascii="Arial" w:cs="Arial" w:eastAsia="Arial" w:hAnsi="Arial"/>
                <w:sz w:val="14"/>
                <w:szCs w:val="14"/>
                <w:color w:val="auto"/>
              </w:rPr>
              <w:t>Accounting Officer)</w:t>
            </w:r>
          </w:p>
        </w:tc>
        <w:tc>
          <w:tcPr>
            <w:tcW w:w="1020" w:type="dxa"/>
            <w:vAlign w:val="bottom"/>
          </w:tcPr>
          <w:p>
            <w:pPr>
              <w:spacing w:after="0"/>
              <w:rPr>
                <w:sz w:val="16"/>
                <w:szCs w:val="16"/>
                <w:color w:val="auto"/>
              </w:rPr>
            </w:pPr>
          </w:p>
        </w:tc>
      </w:tr>
      <w:tr>
        <w:trPr>
          <w:trHeight w:val="333"/>
        </w:trPr>
        <w:tc>
          <w:tcPr>
            <w:tcW w:w="3960" w:type="dxa"/>
            <w:vAlign w:val="bottom"/>
          </w:tcPr>
          <w:p>
            <w:pPr>
              <w:spacing w:after="0"/>
              <w:rPr>
                <w:sz w:val="20"/>
                <w:szCs w:val="20"/>
                <w:color w:val="auto"/>
              </w:rPr>
            </w:pPr>
            <w:r>
              <w:rPr>
                <w:rFonts w:ascii="Arial" w:cs="Arial" w:eastAsia="Arial" w:hAnsi="Arial"/>
                <w:sz w:val="14"/>
                <w:szCs w:val="14"/>
                <w:color w:val="auto"/>
              </w:rPr>
              <w:t>Chairman, 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r>
        <w:trPr>
          <w:trHeight w:val="494"/>
        </w:trPr>
        <w:tc>
          <w:tcPr>
            <w:tcW w:w="3960" w:type="dxa"/>
            <w:vAlign w:val="bottom"/>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jc w:val="right"/>
              <w:spacing w:after="0"/>
              <w:rPr>
                <w:sz w:val="20"/>
                <w:szCs w:val="20"/>
                <w:color w:val="auto"/>
              </w:rPr>
            </w:pPr>
            <w:r>
              <w:rPr>
                <w:rFonts w:ascii="Arial" w:cs="Arial" w:eastAsia="Arial" w:hAnsi="Arial"/>
                <w:sz w:val="14"/>
                <w:szCs w:val="14"/>
                <w:color w:val="auto"/>
              </w:rPr>
              <w:t>,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687705</wp:posOffset>
            </wp:positionV>
            <wp:extent cx="560387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2">
            <w:col w:w="2820" w:space="360"/>
            <w:col w:w="5839"/>
          </w:cols>
          <w:pgMar w:left="1440" w:top="123" w:right="1440" w:bottom="1440" w:gutter="0" w:footer="0" w:header="0"/>
          <w:type w:val="continuous"/>
        </w:sectPr>
      </w:pPr>
    </w:p>
    <w:bookmarkStart w:id="276" w:name="page277"/>
    <w:bookmarkEnd w:id="2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lowerRoman"/>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1"/>
    </w:lvl>
  </w:abstractNum>
  <w:abstractNum w:abstractNumId="65">
    <w:nsid w:val="7055A5F5"/>
    <w:multiLevelType w:val="hybridMultilevel"/>
    <w:lvl w:ilvl="0">
      <w:lvlJc w:val="left"/>
      <w:lvlText w:val="%1."/>
      <w:numFmt w:val="decimal"/>
      <w:start w:val="33"/>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1)"/>
      <w:numFmt w:val="lowerRoman"/>
      <w:start w:val="10"/>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1)"/>
      <w:numFmt w:val="decimal"/>
      <w:start w:val="4"/>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decimal"/>
      <w:start w:val="1"/>
    </w:lvl>
  </w:abstractNum>
  <w:abstractNum w:abstractNumId="79">
    <w:nsid w:val="3FA62ACA"/>
    <w:multiLevelType w:val="hybridMultilevel"/>
    <w:lvl w:ilvl="0">
      <w:lvlJc w:val="left"/>
      <w:lvlText w:val="(%1)"/>
      <w:numFmt w:val="decimal"/>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1)"/>
      <w:numFmt w:val="lowerRoman"/>
      <w:start w:val="3"/>
    </w:lvl>
  </w:abstractNum>
  <w:abstractNum w:abstractNumId="85">
    <w:nsid w:val="1FBFE8E0"/>
    <w:multiLevelType w:val="hybridMultilevel"/>
    <w:lvl w:ilvl="0">
      <w:lvlJc w:val="left"/>
      <w:lvlText w:val="(%1)"/>
      <w:numFmt w:val="decimal"/>
      <w:start w:val="1"/>
    </w:lvl>
  </w:abstractNum>
  <w:abstractNum w:abstractNumId="86">
    <w:nsid w:val="5092CA79"/>
    <w:multiLevelType w:val="hybridMultilevel"/>
    <w:lvl w:ilvl="0">
      <w:lvlJc w:val="left"/>
      <w:lvlText w:val="(%1)"/>
      <w:numFmt w:val="decimal"/>
      <w:start w:val="5"/>
    </w:lvl>
  </w:abstractNum>
  <w:abstractNum w:abstractNumId="87">
    <w:nsid w:val="1D545C4D"/>
    <w:multiLevelType w:val="hybridMultilevel"/>
    <w:lvl w:ilvl="0">
      <w:lvlJc w:val="left"/>
      <w:lvlText w:val="(%1)"/>
      <w:numFmt w:val="lowerRoman"/>
      <w:start w:val="1"/>
    </w:lvl>
  </w:abstractNum>
  <w:abstractNum w:abstractNumId="88">
    <w:nsid w:val="59ADEA3D"/>
    <w:multiLevelType w:val="hybridMultilevel"/>
    <w:lvl w:ilvl="0">
      <w:lvlJc w:val="left"/>
      <w:lvlText w:val="(%1)"/>
      <w:numFmt w:val="decimal"/>
      <w:start w:val="1"/>
    </w:lvl>
  </w:abstractNum>
  <w:abstractNum w:abstractNumId="89">
    <w:nsid w:val="288F1A34"/>
    <w:multiLevelType w:val="hybridMultilevel"/>
    <w:lvl w:ilvl="0">
      <w:lvlJc w:val="left"/>
      <w:lvlText w:val="(%1)"/>
      <w:numFmt w:val="upperLetter"/>
      <w:start w:val="5"/>
    </w:lvl>
  </w:abstractNum>
  <w:abstractNum w:abstractNumId="90">
    <w:nsid w:val="2A155DBC"/>
    <w:multiLevelType w:val="hybridMultilevel"/>
    <w:lvl w:ilvl="0">
      <w:lvlJc w:val="left"/>
      <w:lvlText w:val="(%1)"/>
      <w:numFmt w:val="lowerRoman"/>
      <w:start w:val="1"/>
    </w:lvl>
  </w:abstractNum>
  <w:abstractNum w:abstractNumId="91">
    <w:nsid w:val="1D9F6E5F"/>
    <w:multiLevelType w:val="hybridMultilevel"/>
    <w:lvl w:ilvl="0">
      <w:lvlJc w:val="left"/>
      <w:lvlText w:val=","/>
      <w:numFmt w:val="bullet"/>
      <w:start w:val="1"/>
    </w:lvl>
    <w:lvl w:ilvl="1">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1)"/>
      <w:numFmt w:val="lowerLetter"/>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2"/>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1."/>
      <w:numFmt w:val="decimal"/>
      <w:start w:val="3"/>
    </w:lvl>
  </w:abstractNum>
  <w:abstractNum w:abstractNumId="106">
    <w:nsid w:val="2B0D8DBE"/>
    <w:multiLevelType w:val="hybridMultilevel"/>
    <w:lvl w:ilvl="0">
      <w:lvlJc w:val="left"/>
      <w:lvlText w:val="%1."/>
      <w:numFmt w:val="decimal"/>
      <w:start w:val="4"/>
    </w:lvl>
  </w:abstractNum>
  <w:abstractNum w:abstractNumId="107">
    <w:nsid w:val="6C80EC70"/>
    <w:multiLevelType w:val="hybridMultilevel"/>
    <w:lvl w:ilvl="0">
      <w:lvlJc w:val="left"/>
      <w:lvlText w:val="(%1)"/>
      <w:numFmt w:val="lowerRoman"/>
      <w:start w:val="2"/>
    </w:lvl>
  </w:abstractNum>
  <w:abstractNum w:abstractNumId="108">
    <w:nsid w:val="379E21B5"/>
    <w:multiLevelType w:val="hybridMultilevel"/>
    <w:lvl w:ilvl="0">
      <w:lvlJc w:val="left"/>
      <w:lvlText w:val="%1."/>
      <w:numFmt w:val="decimal"/>
      <w:start w:val="5"/>
    </w:lvl>
  </w:abstractNum>
  <w:abstractNum w:abstractNumId="109">
    <w:nsid w:val="69E373"/>
    <w:multiLevelType w:val="hybridMultilevel"/>
    <w:lvl w:ilvl="0">
      <w:lvlJc w:val="left"/>
      <w:lvlText w:val="%1."/>
      <w:numFmt w:val="decimal"/>
      <w:start w:val="6"/>
    </w:lvl>
  </w:abstractNum>
  <w:abstractNum w:abstractNumId="110">
    <w:nsid w:val="2C27173B"/>
    <w:multiLevelType w:val="hybridMultilevel"/>
    <w:lvl w:ilvl="0">
      <w:lvlJc w:val="left"/>
      <w:lvlText w:val="%1."/>
      <w:numFmt w:val="decimal"/>
      <w:start w:val="7"/>
    </w:lvl>
  </w:abstractNum>
  <w:abstractNum w:abstractNumId="111">
    <w:nsid w:val="4C9B0904"/>
    <w:multiLevelType w:val="hybridMultilevel"/>
    <w:lvl w:ilvl="0">
      <w:lvlJc w:val="left"/>
      <w:lvlText w:val="%1."/>
      <w:numFmt w:val="decimal"/>
      <w:start w:val="8"/>
    </w:lvl>
  </w:abstractNum>
  <w:abstractNum w:abstractNumId="112">
    <w:nsid w:val="6AA7B75C"/>
    <w:multiLevelType w:val="hybridMultilevel"/>
    <w:lvl w:ilvl="0">
      <w:lvlJc w:val="left"/>
      <w:lvlText w:val="(%1)"/>
      <w:numFmt w:val="decimal"/>
      <w:start w:val="1"/>
    </w:lvl>
  </w:abstractNum>
  <w:abstractNum w:abstractNumId="113">
    <w:nsid w:val="1DF029D3"/>
    <w:multiLevelType w:val="hybridMultilevel"/>
    <w:lvl w:ilvl="0">
      <w:lvlJc w:val="left"/>
      <w:lvlText w:val="%1."/>
      <w:numFmt w:val="decimal"/>
      <w:start w:val="10"/>
    </w:lvl>
  </w:abstractNum>
  <w:abstractNum w:abstractNumId="114">
    <w:nsid w:val="5675FF36"/>
    <w:multiLevelType w:val="hybridMultilevel"/>
    <w:lvl w:ilvl="0">
      <w:lvlJc w:val="left"/>
      <w:lvlText w:val="%1."/>
      <w:numFmt w:val="decimal"/>
      <w:start w:val="11"/>
    </w:lvl>
  </w:abstractNum>
  <w:abstractNum w:abstractNumId="115">
    <w:nsid w:val="3DD15094"/>
    <w:multiLevelType w:val="hybridMultilevel"/>
    <w:lvl w:ilvl="0">
      <w:lvlJc w:val="left"/>
      <w:lvlText w:val="%1."/>
      <w:numFmt w:val="decimal"/>
      <w:start w:val="12"/>
    </w:lvl>
  </w:abstractNum>
  <w:abstractNum w:abstractNumId="116">
    <w:nsid w:val="3DB012B3"/>
    <w:multiLevelType w:val="hybridMultilevel"/>
    <w:lvl w:ilvl="0">
      <w:lvlJc w:val="left"/>
      <w:lvlText w:val="%1."/>
      <w:numFmt w:val="decimal"/>
      <w:start w:val="13"/>
    </w:lvl>
  </w:abstractNum>
  <w:abstractNum w:abstractNumId="117">
    <w:nsid w:val="2708C9AF"/>
    <w:multiLevelType w:val="hybridMultilevel"/>
    <w:lvl w:ilvl="0">
      <w:lvlJc w:val="left"/>
      <w:lvlText w:val="%1."/>
      <w:numFmt w:val="decimal"/>
      <w:start w:val="14"/>
    </w:lvl>
  </w:abstractNum>
  <w:abstractNum w:abstractNumId="118">
    <w:nsid w:val="5B25ACE2"/>
    <w:multiLevelType w:val="hybridMultilevel"/>
    <w:lvl w:ilvl="0">
      <w:lvlJc w:val="left"/>
      <w:lvlText w:val="%1."/>
      <w:numFmt w:val="decimal"/>
      <w:start w:val="15"/>
    </w:lvl>
  </w:abstractNum>
  <w:abstractNum w:abstractNumId="119">
    <w:nsid w:val="175DFCF0"/>
    <w:multiLevelType w:val="hybridMultilevel"/>
    <w:lvl w:ilvl="0">
      <w:lvlJc w:val="left"/>
      <w:lvlText w:val="%1."/>
      <w:numFmt w:val="decimal"/>
      <w:start w:val="17"/>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18"/>
    </w:lvl>
  </w:abstractNum>
  <w:abstractNum w:abstractNumId="122">
    <w:nsid w:val="34FD6B4F"/>
    <w:multiLevelType w:val="hybridMultilevel"/>
    <w:lvl w:ilvl="0">
      <w:lvlJc w:val="left"/>
      <w:lvlText w:val="(%1)"/>
      <w:numFmt w:val="decimal"/>
      <w:start w:val="1"/>
    </w:lvl>
  </w:abstractNum>
  <w:abstractNum w:abstractNumId="123">
    <w:nsid w:val="5915FF32"/>
    <w:multiLevelType w:val="hybridMultilevel"/>
    <w:lvl w:ilvl="0">
      <w:lvlJc w:val="left"/>
      <w:lvlText w:val="%1."/>
      <w:numFmt w:val="decimal"/>
      <w:start w:val="19"/>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2026-04-17T23:18:42Z</dcterms:created>
  <dcterms:modified xsi:type="dcterms:W3CDTF">2026-04-17T23:18:42Z</dcterms:modified>
</cp:coreProperties>
</file>