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43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436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Glick Gary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Odyssey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ODTX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ODYSSEY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51 SLEEPER STREET, SUITE 800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00" w:type="dxa"/>
            <w:vAlign w:val="bottom"/>
          </w:tcPr>
          <w:p>
            <w:pPr>
              <w:jc w:val="center"/>
              <w:ind w:left="50"/>
              <w:spacing w:after="0"/>
              <w:rPr>
                <w:sz w:val="20"/>
                <w:szCs w:val="20"/>
                <w:color w:val="auto"/>
              </w:rPr>
            </w:pPr>
            <w:r>
              <w:rPr>
                <w:rFonts w:ascii="Times New Roman" w:cs="Times New Roman" w:eastAsia="Times New Roman" w:hAnsi="Times New Roman"/>
                <w:sz w:val="20"/>
                <w:szCs w:val="20"/>
                <w:color w:val="0000FF"/>
                <w:w w:val="98"/>
              </w:rPr>
              <w:t>388,587</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tcPr>
          <w:p>
            <w:pPr>
              <w:spacing w:after="0"/>
              <w:rPr>
                <w:sz w:val="9"/>
                <w:szCs w:val="9"/>
                <w:color w:val="auto"/>
              </w:rPr>
            </w:pPr>
          </w:p>
        </w:tc>
        <w:tc>
          <w:tcPr>
            <w:tcW w:w="448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4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12/09/2031</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5"/>
              </w:rPr>
              <w:t>128,771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3.98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06/29/2032</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8"/>
              </w:rPr>
              <w:t>13,376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3.98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03/06/2034</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5"/>
              </w:rPr>
              <w:t>372,353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3.98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09/09/2035</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5"/>
              </w:rPr>
              <w:t>941,429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09/09/2035</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5"/>
              </w:rPr>
              <w:t>313,809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Series C Convertible Preferred Stock</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8"/>
              </w:rPr>
              <w:t>10,291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 Convertible Preferred</w:t>
            </w: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70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1"/>
              <w:spacing w:after="0"/>
              <w:rPr>
                <w:sz w:val="20"/>
                <w:szCs w:val="20"/>
                <w:color w:val="auto"/>
              </w:rPr>
            </w:pPr>
            <w:r>
              <w:rPr>
                <w:rFonts w:ascii="Times New Roman" w:cs="Times New Roman" w:eastAsia="Times New Roman" w:hAnsi="Times New Roman"/>
                <w:sz w:val="20"/>
                <w:szCs w:val="20"/>
                <w:color w:val="0000FF"/>
                <w:w w:val="98"/>
              </w:rPr>
              <w:t>17,095</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23, 2022, with the remainder vesting in thirty-six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August 30, 2022, with the remainder vesting in thirty-six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April 7, 2024,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October 10, 2025,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fully vested on September 30, 2025 following satisfaction by the Reporting Person of performance-based conditions.</w:t>
      </w:r>
    </w:p>
    <w:p>
      <w:pPr>
        <w:spacing w:after="0" w:line="52" w:lineRule="exact"/>
        <w:rPr>
          <w:rFonts w:ascii="Times New Roman" w:cs="Times New Roman" w:eastAsia="Times New Roman" w:hAnsi="Times New Roman"/>
          <w:sz w:val="15"/>
          <w:szCs w:val="15"/>
          <w:color w:val="008000"/>
        </w:rPr>
      </w:pPr>
    </w:p>
    <w:p>
      <w:pPr>
        <w:ind w:left="40" w:right="6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C Preferred Stock is convertible into Common Stock on a 1-for-9.7170 basis at any time at the option of the holder. The Series C Preferred Stock will convert immediately prior to the closing of the Issuer's initial public offering into the number of shares shown in column 3 without payment of consideration.</w:t>
      </w:r>
    </w:p>
    <w:p>
      <w:pPr>
        <w:spacing w:after="0" w:line="17"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D Preferred Stock is convertible into Common Stock on a 1-for-9.7170 basis at any time at the option of the holder. The Series D Preferred Stock will convert immediately prior to the closing of the Issuer's initial public offering into the number of shares shown in column 3 without payment of consideration.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President and Chief Executive Officer Exhibit 24 -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/s/ Jolie M. Siegel,</w:t>
      </w:r>
      <w:r>
        <w:rPr>
          <w:sz w:val="20"/>
          <w:szCs w:val="20"/>
          <w:color w:val="auto"/>
        </w:rPr>
        <w:tab/>
      </w:r>
      <w:r>
        <w:rPr>
          <w:rFonts w:ascii="Times New Roman" w:cs="Times New Roman" w:eastAsia="Times New Roman" w:hAnsi="Times New Roman"/>
          <w:sz w:val="18"/>
          <w:szCs w:val="18"/>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955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firstLine="365"/>
        <w:spacing w:after="0" w:line="266" w:lineRule="exact"/>
        <w:rPr>
          <w:sz w:val="20"/>
          <w:szCs w:val="20"/>
          <w:color w:val="auto"/>
        </w:rPr>
      </w:pPr>
      <w:r>
        <w:rPr>
          <w:rFonts w:ascii="Times New Roman" w:cs="Times New Roman" w:eastAsia="Times New Roman" w:hAnsi="Times New Roman"/>
          <w:sz w:val="22"/>
          <w:szCs w:val="22"/>
          <w:color w:val="auto"/>
        </w:rPr>
        <w:t>The undersigned hereby makes, constitutes and appoints each of Jolie M. Siegel, Natalie Dales and Tyler Cochrane, or either of them acting singly, and with full power of substitution and re-substitution,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(each such person and their substitutes being referred to herein as the “Attorney-in-Fact”), with full power to act for the undersigned and in the undersigned’s name, place and stead, in any and all capacities, to:</w:t>
      </w:r>
    </w:p>
    <w:p>
      <w:pPr>
        <w:spacing w:after="0" w:line="93" w:lineRule="exact"/>
        <w:rPr>
          <w:sz w:val="20"/>
          <w:szCs w:val="20"/>
          <w:color w:val="auto"/>
        </w:rPr>
      </w:pPr>
    </w:p>
    <w:p>
      <w:pPr>
        <w:jc w:val="both"/>
        <w:ind w:left="720" w:hanging="355"/>
        <w:spacing w:after="0" w:line="249"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83"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Odyssey Therapeutics, Inc. (including any successors or assigns,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82" w:lineRule="exact"/>
        <w:rPr>
          <w:rFonts w:ascii="Times New Roman" w:cs="Times New Roman" w:eastAsia="Times New Roman" w:hAnsi="Times New Roman"/>
          <w:sz w:val="22"/>
          <w:szCs w:val="22"/>
          <w:color w:val="auto"/>
        </w:rPr>
      </w:pPr>
    </w:p>
    <w:p>
      <w:pPr>
        <w:jc w:val="both"/>
        <w:ind w:left="720" w:hanging="355"/>
        <w:spacing w:after="0" w:line="252"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122" w:lineRule="exact"/>
        <w:rPr>
          <w:sz w:val="20"/>
          <w:szCs w:val="20"/>
          <w:color w:val="auto"/>
        </w:rPr>
      </w:pPr>
    </w:p>
    <w:p>
      <w:pPr>
        <w:ind w:left="1300" w:right="20" w:hanging="366"/>
        <w:spacing w:after="0" w:line="273"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54" w:lineRule="exact"/>
        <w:rPr>
          <w:rFonts w:ascii="Times New Roman" w:cs="Times New Roman" w:eastAsia="Times New Roman" w:hAnsi="Times New Roman"/>
          <w:sz w:val="22"/>
          <w:szCs w:val="22"/>
          <w:color w:val="auto"/>
        </w:rPr>
      </w:pPr>
    </w:p>
    <w:p>
      <w:pPr>
        <w:jc w:val="both"/>
        <w:ind w:left="1300" w:hanging="366"/>
        <w:spacing w:after="0" w:line="257"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2"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8"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and Rule 144, including, without limitation, the reporting requirements under Section 13 or Section 16 of the Exchange Act and Rule 144.</w:t>
      </w:r>
    </w:p>
    <w:p>
      <w:pPr>
        <w:spacing w:after="0" w:line="78"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1043940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the date set forth below.</w:t>
      </w:r>
    </w:p>
    <w:p>
      <w:pPr>
        <w:spacing w:after="0" w:line="2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17145</wp:posOffset>
            </wp:positionV>
            <wp:extent cx="24301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Name: Gary D. Glick</w:t>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Date: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1209040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51249" TargetMode="External"/><Relationship Id="rId11"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2026-05-07T20:28:42Z</dcterms:created>
  <dcterms:modified xsi:type="dcterms:W3CDTF">2026-05-07T20:28:42Z</dcterms:modified>
</cp:coreProperties>
</file>