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00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00040"/>
                    </a:xfrm>
                    <a:prstGeom prst="rect">
                      <a:avLst/>
                    </a:prstGeom>
                    <a:noFill/>
                  </pic:spPr>
                </pic:pic>
              </a:graphicData>
            </a:graphic>
          </wp:anchor>
        </w:drawing>
      </w:r>
    </w:p>
    <w:p>
      <w:pPr>
        <w:sectPr>
          <w:pgSz w:w="11900" w:h="16838" w:orient="portrait"/>
          <w:cols w:equalWidth="0" w:num="1">
            <w:col w:w="10940"/>
          </w:cols>
          <w:pgMar w:left="480" w:top="230" w:right="479" w:bottom="101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Haas Jason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2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Odyssey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ODTX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01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C/O ODYSSEY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51 SLEEPER STREET, SUITE 800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01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61,908</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12/17/2034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5"/>
              </w:rPr>
              <w:t>128,215</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3.98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09/09/2035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5"/>
              </w:rPr>
              <w:t>112,281</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4.18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09/09/2035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8"/>
              </w:rPr>
              <w:t>43,817</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4.18</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December 20, 2025, with the remainder vesting in thirty-six (36)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vests in forty-eight (48) equal monthly installments, with the first installment vesting on October 10, 2025,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fully vested on September 30, 2025 following satisfaction by the Reporting Person of performance-based conditions.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Jolie M. Siegel,</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015"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both"/>
        <w:ind w:firstLine="365"/>
        <w:spacing w:after="0" w:line="266" w:lineRule="exact"/>
        <w:rPr>
          <w:sz w:val="20"/>
          <w:szCs w:val="20"/>
          <w:color w:val="auto"/>
        </w:rPr>
      </w:pPr>
      <w:r>
        <w:rPr>
          <w:rFonts w:ascii="Times New Roman" w:cs="Times New Roman" w:eastAsia="Times New Roman" w:hAnsi="Times New Roman"/>
          <w:sz w:val="22"/>
          <w:szCs w:val="22"/>
          <w:color w:val="auto"/>
        </w:rPr>
        <w:t>The undersigned hereby makes, constitutes and appoints each of Gary D. Glick, Jolie M. Siegel, Natalie Dales and Tyler Cochrane, or either of them acting singly, and with full power of substitution and re-substitution,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(each such person and their substitutes being referred to herein as the “Attorney-in-Fact”), with full power to act for the undersigned and in the undersigned’s name, place and stead, in any and all capacities, to:</w:t>
      </w:r>
    </w:p>
    <w:p>
      <w:pPr>
        <w:spacing w:after="0" w:line="93" w:lineRule="exact"/>
        <w:rPr>
          <w:sz w:val="20"/>
          <w:szCs w:val="20"/>
          <w:color w:val="auto"/>
        </w:rPr>
      </w:pPr>
    </w:p>
    <w:p>
      <w:pPr>
        <w:jc w:val="both"/>
        <w:ind w:left="720" w:hanging="355"/>
        <w:spacing w:after="0" w:line="249"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83" w:lineRule="exact"/>
        <w:rPr>
          <w:rFonts w:ascii="Times New Roman" w:cs="Times New Roman" w:eastAsia="Times New Roman" w:hAnsi="Times New Roman"/>
          <w:sz w:val="22"/>
          <w:szCs w:val="22"/>
          <w:color w:val="auto"/>
        </w:rPr>
      </w:pPr>
    </w:p>
    <w:p>
      <w:pPr>
        <w:jc w:val="both"/>
        <w:ind w:left="720" w:hanging="355"/>
        <w:spacing w:after="0" w:line="248"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 Odyssey Therapeutics, Inc. (including any successors or assigns,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any security of the Company, including Forms 3, 4 and 5, Schedules 13D and 13G, and Forms 144; and</w:t>
      </w:r>
    </w:p>
    <w:p>
      <w:pPr>
        <w:spacing w:after="0" w:line="82" w:lineRule="exact"/>
        <w:rPr>
          <w:rFonts w:ascii="Times New Roman" w:cs="Times New Roman" w:eastAsia="Times New Roman" w:hAnsi="Times New Roman"/>
          <w:sz w:val="22"/>
          <w:szCs w:val="22"/>
          <w:color w:val="auto"/>
        </w:rPr>
      </w:pPr>
    </w:p>
    <w:p>
      <w:pPr>
        <w:jc w:val="both"/>
        <w:ind w:left="720" w:hanging="355"/>
        <w:spacing w:after="0" w:line="252" w:lineRule="auto"/>
        <w:tabs>
          <w:tab w:leader="none" w:pos="7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122" w:lineRule="exact"/>
        <w:rPr>
          <w:sz w:val="20"/>
          <w:szCs w:val="20"/>
          <w:color w:val="auto"/>
        </w:rPr>
      </w:pPr>
    </w:p>
    <w:p>
      <w:pPr>
        <w:ind w:left="1300" w:right="20" w:hanging="366"/>
        <w:spacing w:after="0" w:line="273"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54" w:lineRule="exact"/>
        <w:rPr>
          <w:rFonts w:ascii="Times New Roman" w:cs="Times New Roman" w:eastAsia="Times New Roman" w:hAnsi="Times New Roman"/>
          <w:sz w:val="22"/>
          <w:szCs w:val="22"/>
          <w:color w:val="auto"/>
        </w:rPr>
      </w:pPr>
    </w:p>
    <w:p>
      <w:pPr>
        <w:jc w:val="both"/>
        <w:ind w:left="1300" w:hanging="366"/>
        <w:spacing w:after="0" w:line="257"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72" w:lineRule="exact"/>
        <w:rPr>
          <w:rFonts w:ascii="Times New Roman" w:cs="Times New Roman" w:eastAsia="Times New Roman" w:hAnsi="Times New Roman"/>
          <w:sz w:val="22"/>
          <w:szCs w:val="22"/>
          <w:color w:val="auto"/>
        </w:rPr>
      </w:pPr>
    </w:p>
    <w:p>
      <w:pPr>
        <w:jc w:val="both"/>
        <w:ind w:left="1300" w:hanging="366"/>
        <w:spacing w:after="0" w:line="252"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78" w:lineRule="exact"/>
        <w:rPr>
          <w:rFonts w:ascii="Times New Roman" w:cs="Times New Roman" w:eastAsia="Times New Roman" w:hAnsi="Times New Roman"/>
          <w:sz w:val="22"/>
          <w:szCs w:val="22"/>
          <w:color w:val="auto"/>
        </w:rPr>
      </w:pPr>
    </w:p>
    <w:p>
      <w:pPr>
        <w:jc w:val="both"/>
        <w:ind w:left="1300" w:hanging="366"/>
        <w:spacing w:after="0" w:line="252" w:lineRule="auto"/>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and Rule 144, including, without limitation, the reporting requirements under Section 13 or Section 16 of the Exchange Act and Rule 144.</w:t>
      </w:r>
    </w:p>
    <w:p>
      <w:pPr>
        <w:spacing w:after="0" w:line="78" w:lineRule="exact"/>
        <w:rPr>
          <w:sz w:val="20"/>
          <w:szCs w:val="20"/>
          <w:color w:val="auto"/>
        </w:rPr>
      </w:pPr>
    </w:p>
    <w:p>
      <w:pPr>
        <w:jc w:val="both"/>
        <w:ind w:firstLine="365"/>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1043940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jc w:val="both"/>
        <w:ind w:firstLine="365"/>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the date set forth below.</w:t>
      </w:r>
    </w:p>
    <w:p>
      <w:pPr>
        <w:spacing w:after="0" w:line="2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/s/ JASON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17145</wp:posOffset>
            </wp:positionV>
            <wp:extent cx="24301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30145" cy="9525"/>
                    </a:xfrm>
                    <a:prstGeom prst="rect">
                      <a:avLst/>
                    </a:prstGeom>
                    <a:noFill/>
                  </pic:spPr>
                </pic:pic>
              </a:graphicData>
            </a:graphic>
          </wp:anchor>
        </w:drawing>
      </w:r>
    </w:p>
    <w:p>
      <w:pPr>
        <w:spacing w:after="0" w:line="1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Name: JASON HAAS</w:t>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2"/>
          <w:szCs w:val="22"/>
          <w:color w:val="auto"/>
        </w:rPr>
        <w:t>Date: MARCH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1209040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83821" TargetMode="External"/><Relationship Id="rId11" Type="http://schemas.openxmlformats.org/officeDocument/2006/relationships/hyperlink" Target="http://www.sec.gov/cgi-bin/browse-edgar?action=getcompany&amp;CIK=0001882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2026-05-07T20:23:23Z</dcterms:created>
  <dcterms:modified xsi:type="dcterms:W3CDTF">2026-05-07T20:23:23Z</dcterms:modified>
</cp:coreProperties>
</file>